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C14 — Testing, Observability, Performance and Production Evidence</w:t>
      </w:r>
    </w:p>
    <w:p>
      <w:pPr>
        <w:jc w:val="center"/>
      </w:pPr>
      <w:r>
        <w:rPr>
          <w:i/>
        </w:rPr>
        <w:t>Complete course handout · British English</w:t>
      </w:r>
    </w:p>
    <w:p>
      <w:pPr>
        <w:jc w:val="center"/>
      </w:pPr>
      <w:r>
        <w:rPr>
          <w:b/>
        </w:rPr>
        <w:t>Status: WIP/PREVIEW — not FINAL</w:t>
      </w:r>
    </w:p>
    <w:p>
      <w:r>
        <w:rPr>
          <w:b/>
        </w:rPr>
        <w:t>Purpose.</w:t>
      </w:r>
      <w:r>
        <w:t xml:space="preserve"> Build readiness conclusions from evidence that names its boundary, provenance, owner and limit.</w:t>
      </w:r>
    </w:p>
    <w:p>
      <w:pPr>
        <w:pStyle w:val="Heading1"/>
        <w:keepNext/>
      </w:pPr>
      <w:r>
        <w:t>Readiness and test boundaries</w:t>
      </w:r>
    </w:p>
    <w:p>
      <w:pPr>
        <w:pStyle w:val="Heading2"/>
        <w:keepNext/>
      </w:pPr>
      <w:r>
        <w:t>1. Unit tests isolate local rules</w:t>
      </w:r>
    </w:p>
    <w:p>
      <w:r>
        <w:t>Use a unit boundary for pure rules such as validation, reducers and parsers when collaborators are not part of the claim.</w:t>
      </w:r>
    </w:p>
    <w:p>
      <w:r>
        <w:rPr>
          <w:b/>
        </w:rPr>
        <w:t>Evidence boundary.</w:t>
      </w:r>
      <w:r>
        <w:t xml:space="preserve"> Test boundaries and cheapest sufficient witness; no broader runtime or deployment claim follows.</w:t>
      </w:r>
    </w:p>
    <w:p>
      <w:pPr>
        <w:pStyle w:val="Heading2"/>
        <w:keepNext/>
      </w:pPr>
      <w:r>
        <w:t>2. Integration tests join real collaborators</w:t>
      </w:r>
    </w:p>
    <w:p>
      <w:r>
        <w:t>Use integration evidence when the claim joins real collaborators such as repositories, constraints, queues or adapters.</w:t>
      </w:r>
    </w:p>
    <w:p>
      <w:r>
        <w:rPr>
          <w:b/>
        </w:rPr>
        <w:t>Evidence boundary.</w:t>
      </w:r>
      <w:r>
        <w:t xml:space="preserve"> Test boundaries and cheapest sufficient witness; no broader runtime or deployment claim follows.</w:t>
      </w:r>
    </w:p>
    <w:p>
      <w:pPr>
        <w:pStyle w:val="Heading2"/>
        <w:keepNext/>
      </w:pPr>
      <w:r>
        <w:t>3. API tests verify HTTP contracts</w:t>
      </w:r>
    </w:p>
    <w:p>
      <w:r>
        <w:t>Use a loopback API boundary for method, status, headers, body, persistence and public failure contracts.</w:t>
      </w:r>
    </w:p>
    <w:p>
      <w:r>
        <w:rPr>
          <w:b/>
        </w:rPr>
        <w:t>Evidence boundary.</w:t>
      </w:r>
      <w:r>
        <w:t xml:space="preserve"> Test boundaries and cheapest sufficient witness; no broader runtime or deployment claim follows.</w:t>
      </w:r>
    </w:p>
    <w:p>
      <w:pPr>
        <w:pStyle w:val="Heading2"/>
        <w:keepNext/>
      </w:pPr>
      <w:r>
        <w:t>4. Browser tests verify browser-owned behavior</w:t>
      </w:r>
    </w:p>
    <w:p>
      <w:r>
        <w:t>Use a real browser when focus, navigation, storage, Worker, Service Worker or iframe lifecycle owns the behaviour.</w:t>
      </w:r>
    </w:p>
    <w:p>
      <w:r>
        <w:rPr>
          <w:b/>
        </w:rPr>
        <w:t>Evidence boundary.</w:t>
      </w:r>
      <w:r>
        <w:t xml:space="preserve"> Test boundaries and cheapest sufficient witness; no broader runtime or deployment claim follows.</w:t>
      </w:r>
    </w:p>
    <w:p>
      <w:pPr>
        <w:pStyle w:val="Heading2"/>
        <w:keepNext/>
      </w:pPr>
      <w:r>
        <w:t>5. Use the cheapest sufficient boundary</w:t>
      </w:r>
    </w:p>
    <w:p>
      <w:r>
        <w:t>Choose the lowest boundary that can observe the claim. Higher boundaries add lifecycle cost and additional failure modes.</w:t>
      </w:r>
    </w:p>
    <w:p>
      <w:r>
        <w:rPr>
          <w:b/>
        </w:rPr>
        <w:t>Evidence boundary.</w:t>
      </w:r>
      <w:r>
        <w:t xml:space="preserve"> Test boundaries and cheapest sufficient witness; no broader runtime or deployment claim follows.</w:t>
      </w:r>
    </w:p>
    <w:p>
      <w:pPr>
        <w:pStyle w:val="Heading1"/>
        <w:keepNext/>
      </w:pPr>
      <w:r>
        <w:t>Sensitivity, determinism and regression</w:t>
      </w:r>
    </w:p>
    <w:p>
      <w:pPr>
        <w:pStyle w:val="Heading2"/>
        <w:keepNext/>
      </w:pPr>
      <w:r>
        <w:t>6. Worked example — test boundary selector</w:t>
      </w:r>
    </w:p>
    <w:p>
      <w:r>
        <w:t>The canonical selector maps pure policy, persistence and HTTP semantics to different boundaries. It does not run in this package.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7. Test observable behavior</w:t>
      </w:r>
    </w:p>
    <w:p>
      <w:r>
        <w:t>Assert public behaviour and persisted state. Avoid private choreography unless that sequence is itself the contract.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8. Determinism requires lifecycle ownership</w:t>
      </w:r>
    </w:p>
    <w:p>
      <w:r>
        <w:t>Deterministic evidence owns setup, readiness, fixtures, clocks and cleanup. A leaked resource can contaminate later runs.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9. Avoid arbitrary sleeps</w:t>
      </w:r>
    </w:p>
    <w:p>
      <w:r>
        <w:t>Replace arbitrary delays with explicit events, promises, conditions or controlled time.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10. Passing tests can be insensitive</w:t>
      </w:r>
    </w:p>
    <w:p>
      <w:r>
        <w:t>A green happy path can miss wrong status, absent persistence and unsafe public errors.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11. Seed realistic defects</w:t>
      </w:r>
    </w:p>
    <w:p>
      <w:r>
        <w:t>Introduce plausible faults and predict the specific failure vector. Surviving faults require interpretation.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12. Worked example — seeded defect sensitivity</w:t>
      </w:r>
    </w:p>
    <w:p>
      <w:r>
        <w:t>The exact seeded-defect example separates status, persistence and sanitisation failures, but its cleanup is not fully guarded.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13. Coverage is execution evidence</w:t>
      </w:r>
    </w:p>
    <w:p>
      <w:r>
        <w:t>Coverage is execution evidence. It does not establish that assertions distinguish the behaviour that matters.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2"/>
        <w:keepNext/>
      </w:pPr>
      <w:r>
        <w:t>14. Separate baseline, objective, and regression</w:t>
      </w:r>
    </w:p>
    <w:p>
      <w:r>
        <w:t>Baseline validates infrastructure, objective differentiates the required implementation and regression protects other behaviour.</w:t>
      </w:r>
    </w:p>
    <w:p>
      <w:r>
        <w:rPr>
          <w:b/>
        </w:rPr>
        <w:t>Evidence boundary.</w:t>
      </w:r>
      <w:r>
        <w:t xml:space="preserve"> Sensitivity, determinism and regression structure; no broader runtime or deployment claim follows.</w:t>
      </w:r>
    </w:p>
    <w:p>
      <w:pPr>
        <w:pStyle w:val="Heading1"/>
        <w:keepNext/>
      </w:pPr>
      <w:r>
        <w:t>Performance evidence</w:t>
      </w:r>
    </w:p>
    <w:p>
      <w:pPr>
        <w:pStyle w:val="Heading2"/>
        <w:keepNext/>
      </w:pPr>
      <w:r>
        <w:t>15. “Fast” needs a scenario</w:t>
      </w:r>
    </w:p>
    <w:p>
      <w:r>
        <w:t>A performance claim requires a declared operation, state, warm-up, sample size, concurrency, timeout, interval, statistic and environment.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16. Concurrency is not throughput</w:t>
      </w:r>
    </w:p>
    <w:p>
      <w:r>
        <w:t>Concurrency is in-flight work. Throughput also needs completions and scenario duration.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17. Bound concurrent work</w:t>
      </w:r>
    </w:p>
    <w:p>
      <w:r>
        <w:t>Bound scheduling and settle every operation once. Unbounded Promise.all is not a load methodology.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18. Classify HTTP and transport outcomes</w:t>
      </w:r>
    </w:p>
    <w:p>
      <w:r>
        <w:t>HTTP failure, transport rejection and local timeout are distinct classes even when the client API fulfils the promise for HTTP 500.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19. Measure the intended interval</w:t>
      </w:r>
    </w:p>
    <w:p>
      <w:r>
        <w:t>Header-arrival and body-complete latency are different intervals. Measure the interval named by the claim.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20. Mean can hide tails</w:t>
      </w:r>
    </w:p>
    <w:p>
      <w:r>
        <w:t>A mean can conceal a severe tail. Report distribution and failures, not a single reassuring average.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21. Worked example — tail latency trace</w:t>
      </w:r>
    </w:p>
    <w:p>
      <w:r>
        <w:t>The canonical tail example provides a bounded teaching sample, not a capacity or SLO result.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2"/>
        <w:keepNext/>
      </w:pPr>
      <w:r>
        <w:t>22. Percentiles need definition</w:t>
      </w:r>
    </w:p>
    <w:p>
      <w:r>
        <w:t>State the percentile algorithm, population, warm-up policy, sample size and environment.</w:t>
      </w:r>
    </w:p>
    <w:p>
      <w:r>
        <w:rPr>
          <w:b/>
        </w:rPr>
        <w:t>Evidence boundary.</w:t>
      </w:r>
      <w:r>
        <w:t xml:space="preserve"> Performance scenarios, concurrency and tail latency; no broader runtime or deployment claim follows.</w:t>
      </w:r>
    </w:p>
    <w:p>
      <w:pPr>
        <w:pStyle w:val="Heading1"/>
        <w:keepNext/>
      </w:pPr>
      <w:r>
        <w:t>Observability evidence</w:t>
      </w:r>
    </w:p>
    <w:p>
      <w:pPr>
        <w:pStyle w:val="Heading2"/>
        <w:keepNext/>
      </w:pPr>
      <w:r>
        <w:t>23. Observability connects symptoms to work</w:t>
      </w:r>
    </w:p>
    <w:p>
      <w:r>
        <w:t>Logs record events, metrics aggregate values and traces link operations across boundaries.</w:t>
      </w:r>
    </w:p>
    <w:p>
      <w:r>
        <w:rPr>
          <w:b/>
        </w:rPr>
        <w:t>Evidence boundary.</w:t>
      </w:r>
      <w:r>
        <w:t xml:space="preserve"> Observability schemas, redaction and cardinality; no broader runtime or deployment claim follows.</w:t>
      </w:r>
    </w:p>
    <w:p>
      <w:pPr>
        <w:pStyle w:val="Heading2"/>
        <w:keepNext/>
      </w:pPr>
      <w:r>
        <w:t>24. Structure logs around stable schemas</w:t>
      </w:r>
    </w:p>
    <w:p>
      <w:r>
        <w:t>Prefer a stable allowlisted schema with internal correlation, route templates, status and bounded duration.</w:t>
      </w:r>
    </w:p>
    <w:p>
      <w:r>
        <w:rPr>
          <w:b/>
        </w:rPr>
        <w:t>Evidence boundary.</w:t>
      </w:r>
      <w:r>
        <w:t xml:space="preserve"> Observability schemas, redaction and cardinality; no broader runtime or deployment claim follows.</w:t>
      </w:r>
    </w:p>
    <w:p>
      <w:pPr>
        <w:pStyle w:val="Heading2"/>
        <w:keepNext/>
      </w:pPr>
      <w:r>
        <w:t>25. Minimize sensitive data</w:t>
      </w:r>
    </w:p>
    <w:p>
      <w:r>
        <w:t>Do not place request bodies, cookies, credentials, ORM instances or raw errors into the evidence pack.</w:t>
      </w:r>
    </w:p>
    <w:p>
      <w:r>
        <w:rPr>
          <w:b/>
        </w:rPr>
        <w:t>Evidence boundary.</w:t>
      </w:r>
      <w:r>
        <w:t xml:space="preserve"> Observability schemas, redaction and cardinality; no broader runtime or deployment claim follows.</w:t>
      </w:r>
    </w:p>
    <w:p>
      <w:pPr>
        <w:pStyle w:val="Heading2"/>
        <w:keepNext/>
      </w:pPr>
      <w:r>
        <w:t>26. Worked example — safe log projection</w:t>
      </w:r>
    </w:p>
    <w:p>
      <w:r>
        <w:t>The canonical log projection retains selected fields, but raw path and caller request ID still need trust and cardinality policy.</w:t>
      </w:r>
    </w:p>
    <w:p>
      <w:r>
        <w:rPr>
          <w:b/>
        </w:rPr>
        <w:t>Evidence boundary.</w:t>
      </w:r>
      <w:r>
        <w:t xml:space="preserve"> Observability schemas, redaction and cardinality; no broader runtime or deployment claim follows.</w:t>
      </w:r>
    </w:p>
    <w:p>
      <w:pPr>
        <w:pStyle w:val="Heading2"/>
        <w:keepNext/>
      </w:pPr>
      <w:r>
        <w:t>27. Metrics need bounded cardinality</w:t>
      </w:r>
    </w:p>
    <w:p>
      <w:r>
        <w:t>Labels must have bounded cardinality. Raw URLs, emails, request IDs and arbitrary error text are unsuitable metric labels.</w:t>
      </w:r>
    </w:p>
    <w:p>
      <w:r>
        <w:rPr>
          <w:b/>
        </w:rPr>
        <w:t>Evidence boundary.</w:t>
      </w:r>
      <w:r>
        <w:t xml:space="preserve"> Observability schemas, redaction and cardinality; no broader runtime or deployment claim follows.</w:t>
      </w:r>
    </w:p>
    <w:p>
      <w:pPr>
        <w:pStyle w:val="Heading1"/>
        <w:keepNext/>
      </w:pPr>
      <w:r>
        <w:t>Production gates</w:t>
      </w:r>
    </w:p>
    <w:p>
      <w:pPr>
        <w:pStyle w:val="Heading2"/>
        <w:keepNext/>
      </w:pPr>
      <w:r>
        <w:t>28. Development is not deployment</w:t>
      </w:r>
    </w:p>
    <w:p>
      <w:r>
        <w:t>Development, locked install, build, start, health, shutdown and deployment are separate gates.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2"/>
        <w:keepNext/>
      </w:pPr>
      <w:r>
        <w:t>29. Build success does not prove runtime</w:t>
      </w:r>
    </w:p>
    <w:p>
      <w:r>
        <w:t>A successful build can still fail to start, find configuration, serve routes or connect dependencies.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2"/>
        <w:keepNext/>
      </w:pPr>
      <w:r>
        <w:t>30. Deployment owns external boundaries</w:t>
      </w:r>
    </w:p>
    <w:p>
      <w:r>
        <w:t>TLS termination, proxy trust, secret injection, restart policy, volumes and log collection may belong to deployment owners.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2"/>
        <w:keepNext/>
      </w:pPr>
      <w:r>
        <w:t>31. Security tools produce findings</w:t>
      </w:r>
    </w:p>
    <w:p>
      <w:r>
        <w:t>Audits and scanners have scope, configuration, authentication, false positives and blind spots.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2"/>
        <w:keepNext/>
      </w:pPr>
      <w:r>
        <w:t>32. Tool failure is unknown</w:t>
      </w:r>
    </w:p>
    <w:p>
      <w:r>
        <w:t>A tool that failed to run produced unknown evidence, not a clean report.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2"/>
        <w:keepNext/>
      </w:pPr>
      <w:r>
        <w:t>33. Worked example — evidence tristate gate</w:t>
      </w:r>
    </w:p>
    <w:p>
      <w:r>
        <w:t>A tri-state gate preserves pass, fail and unknown, but truthy values are not typed or authenticated evidence.</w:t>
      </w:r>
    </w:p>
    <w:p>
      <w:r>
        <w:rPr>
          <w:b/>
        </w:rPr>
        <w:t>Evidence boundary.</w:t>
      </w:r>
      <w:r>
        <w:t xml:space="preserve"> Build, runtime, deployment and security evidence; no broader runtime or deployment claim follows.</w:t>
      </w:r>
    </w:p>
    <w:p>
      <w:pPr>
        <w:pStyle w:val="Heading1"/>
        <w:keepNext/>
      </w:pPr>
      <w:r>
        <w:t>Ownership, maintainability and AI change safety</w:t>
      </w:r>
    </w:p>
    <w:p>
      <w:pPr>
        <w:pStyle w:val="Heading2"/>
        <w:keepNext/>
      </w:pPr>
      <w:r>
        <w:t>34. Findings need ownership</w:t>
      </w:r>
    </w:p>
    <w:p>
      <w:r>
        <w:t>Each finding needs a stable rule, severity, evidence, owner, action and any scoped exception with expiry.</w:t>
      </w:r>
    </w:p>
    <w:p>
      <w:r>
        <w:rPr>
          <w:b/>
        </w:rPr>
        <w:t>Evidence boundary.</w:t>
      </w:r>
      <w:r>
        <w:t xml:space="preserve"> Ownership, maintainability, AI impact and readiness argument; no broader runtime or deployment claim follows.</w:t>
      </w:r>
    </w:p>
    <w:p>
      <w:pPr>
        <w:pStyle w:val="Heading2"/>
        <w:keepNext/>
      </w:pPr>
      <w:r>
        <w:t>35. Maintainability is change safety</w:t>
      </w:r>
    </w:p>
    <w:p>
      <w:r>
        <w:t>Maintainability is the capacity to change safely across responsibilities, contracts, cleanup and dependencies.</w:t>
      </w:r>
    </w:p>
    <w:p>
      <w:r>
        <w:rPr>
          <w:b/>
        </w:rPr>
        <w:t>Evidence boundary.</w:t>
      </w:r>
      <w:r>
        <w:t xml:space="preserve"> Ownership, maintainability, AI impact and readiness argument; no broader runtime or deployment claim follows.</w:t>
      </w:r>
    </w:p>
    <w:p>
      <w:pPr>
        <w:pStyle w:val="Heading2"/>
        <w:keepNext/>
      </w:pPr>
      <w:r>
        <w:t>36. AI-assisted changes start with impact maps</w:t>
      </w:r>
    </w:p>
    <w:p>
      <w:r>
        <w:t>Before AI-assisted change, map routes, trusted identity, persistence, events, old contracts, cleanup and allowed files.</w:t>
      </w:r>
    </w:p>
    <w:p>
      <w:r>
        <w:rPr>
          <w:b/>
        </w:rPr>
        <w:t>Evidence boundary.</w:t>
      </w:r>
      <w:r>
        <w:t xml:space="preserve"> Ownership, maintainability, AI impact and readiness argument; no broader runtime or deployment claim follows.</w:t>
      </w:r>
    </w:p>
    <w:p>
      <w:pPr>
        <w:pStyle w:val="Heading2"/>
        <w:keepNext/>
      </w:pPr>
      <w:r>
        <w:t>37. Commit/event ordering matters</w:t>
      </w:r>
    </w:p>
    <w:p>
      <w:r>
        <w:t>Commit-before-event and delivery-after-commit need explicit failure policy such as retry, pending state or outbox.</w:t>
      </w:r>
    </w:p>
    <w:p>
      <w:r>
        <w:rPr>
          <w:b/>
        </w:rPr>
        <w:t>Evidence boundary.</w:t>
      </w:r>
      <w:r>
        <w:t xml:space="preserve"> Ownership, maintainability, AI impact and readiness argument; no broader runtime or deployment claim follows.</w:t>
      </w:r>
    </w:p>
    <w:p>
      <w:pPr>
        <w:pStyle w:val="Heading2"/>
        <w:keepNext/>
      </w:pPr>
      <w:r>
        <w:t>38. Production readiness is an argument</w:t>
      </w:r>
    </w:p>
    <w:p>
      <w:r>
        <w:t>Production readiness is a bounded argument: scope, environment, evidence, pass/fail/unknown, owners, remediation and limitations.</w:t>
      </w:r>
    </w:p>
    <w:p>
      <w:r>
        <w:rPr>
          <w:b/>
        </w:rPr>
        <w:t>Evidence boundary.</w:t>
      </w:r>
      <w:r>
        <w:t xml:space="preserve"> Ownership, maintainability, AI impact and readiness argument; no broader runtime or deployment claim follows.</w:t>
      </w:r>
    </w:p>
    <w:p>
      <w:pPr>
        <w:pStyle w:val="Heading1"/>
        <w:keepNext/>
      </w:pPr>
      <w:r>
        <w:t>Week 14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F0F4"/>
            <w:vAlign w:val="center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3389"/>
            <w:shd w:fill="E9F0F4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89"/>
            <w:shd w:fill="E9F0F4"/>
            <w:vAlign w:val="center"/>
          </w:tcPr>
          <w:p>
            <w:r>
              <w:rPr>
                <w:b/>
              </w:rPr>
              <w:t>Base obligation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P01 Regression Harness</w:t>
            </w:r>
          </w:p>
        </w:tc>
        <w:tc>
          <w:tcPr>
            <w:tcW w:type="dxa" w:w="3389"/>
          </w:tcPr>
          <w:p>
            <w:r>
              <w:t>Required portfolio close</w:t>
            </w:r>
          </w:p>
        </w:tc>
        <w:tc>
          <w:tcPr>
            <w:tcW w:type="dxa" w:w="3389"/>
          </w:tcPr>
          <w:p>
            <w:r>
              <w:t>Complete, repeat, attribute mutations and review cleanup evidence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P02 Load and Failure Probe</w:t>
            </w:r>
          </w:p>
        </w:tc>
        <w:tc>
          <w:tcPr>
            <w:tcW w:type="dxa" w:w="3389"/>
          </w:tcPr>
          <w:p>
            <w:r>
              <w:t>Optional advanced</w:t>
            </w:r>
          </w:p>
        </w:tc>
        <w:tc>
          <w:tcPr>
            <w:tcW w:type="dxa" w:w="3389"/>
          </w:tcPr>
          <w:p>
            <w:r>
              <w:t>Bounded local-only evidence in a separately qualified environment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P03 Production Evidence Review</w:t>
            </w:r>
          </w:p>
        </w:tc>
        <w:tc>
          <w:tcPr>
            <w:tcW w:type="dxa" w:w="3389"/>
          </w:tcPr>
          <w:p>
            <w:r>
              <w:t>Required capstone review</w:t>
            </w:r>
          </w:p>
        </w:tc>
        <w:tc>
          <w:tcPr>
            <w:tcW w:type="dxa" w:w="3389"/>
          </w:tcPr>
          <w:p>
            <w:r>
              <w:t>Apply pass/fail/unknown table to the student project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P04 Capstone Requirement Extension</w:t>
            </w:r>
          </w:p>
        </w:tc>
        <w:tc>
          <w:tcPr>
            <w:tcW w:type="dxa" w:w="3389"/>
          </w:tcPr>
          <w:p>
            <w:r>
              <w:t>Separate assessment bank</w:t>
            </w:r>
          </w:p>
        </w:tc>
        <w:tc>
          <w:tcPr>
            <w:tcW w:type="dxa" w:w="3389"/>
          </w:tcPr>
          <w:p>
            <w:r>
              <w:t>Not part of ordinary S14</w:t>
            </w:r>
          </w:p>
        </w:tc>
      </w:tr>
    </w:tbl>
    <w:p>
      <w:pPr>
        <w:pStyle w:val="Heading1"/>
        <w:keepNext/>
      </w:pPr>
      <w:r>
        <w:t>Conclusion boundary</w:t>
      </w:r>
    </w:p>
    <w:p>
      <w:r>
        <w:t>No source hash, green test, build artifact or fixed model in this package authorises publication, deployment, a release or a FINAL tag.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C14 handout · WIP/PREVIEW · 60-minute content limit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