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S14 — Production Evidence and Regression Closure</w:t>
      </w:r>
    </w:p>
    <w:p>
      <w:pPr>
        <w:jc w:val="center"/>
      </w:pPr>
      <w:r>
        <w:rPr>
          <w:i/>
        </w:rPr>
        <w:t>Student guide · one private final PDF</w:t>
      </w:r>
    </w:p>
    <w:p>
      <w:pPr>
        <w:jc w:val="center"/>
      </w:pPr>
      <w:r>
        <w:rPr>
          <w:b/>
          <w:color w:val="096978"/>
        </w:rPr>
        <w:t>WEB TECHNOLOGIES 2026 · WIP/PREVIEW</w:t>
      </w:r>
    </w:p>
    <w:p>
      <w:pPr>
        <w:pStyle w:val="Heading1"/>
      </w:pPr>
      <w:r>
        <w:t>Purpose and roles</w:t>
      </w:r>
    </w:p>
    <w:p>
      <w:r>
        <w:t>P01 closes Regression Harness. P03 supplies the required project-specific review. P02 remains optional advanced work and P04 remains a separate assessment-bank task.</w:t>
      </w:r>
    </w:p>
    <w:p>
      <w:pPr>
        <w:pStyle w:val="Heading1"/>
      </w:pPr>
      <w:r>
        <w:t>Sixty-minute route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cantSplit/>
        </w:trPr>
        <w:tc>
          <w:tcPr>
            <w:tcW w:type="dxa" w:w="1191"/>
            <w:shd w:fill="D9EAF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</w:rPr>
              <w:t>Minutes</w:t>
            </w:r>
          </w:p>
        </w:tc>
        <w:tc>
          <w:tcPr>
            <w:tcW w:type="dxa" w:w="2835"/>
            <w:shd w:fill="D9EAF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4479"/>
            <w:shd w:fill="D9EAF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</w:rPr>
              <w:t>Output</w:t>
            </w:r>
          </w:p>
        </w:tc>
      </w:tr>
      <w:tr>
        <w:trPr>
          <w:cantSplit/>
        </w:trPr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00–05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Identity and release preflight</w:t>
            </w:r>
          </w:p>
        </w:tc>
        <w:tc>
          <w:tcPr>
            <w:tcW w:type="dxa" w:w="447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Exact identity and open gates</w:t>
            </w:r>
          </w:p>
        </w:tc>
      </w:tr>
      <w:tr>
        <w:trPr>
          <w:cantSplit/>
        </w:trPr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05–15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Close Regression Harness</w:t>
            </w:r>
          </w:p>
        </w:tc>
        <w:tc>
          <w:tcPr>
            <w:tcW w:type="dxa" w:w="447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Boundary matrix and persistence witness</w:t>
            </w:r>
          </w:p>
        </w:tc>
      </w:tr>
      <w:tr>
        <w:trPr>
          <w:cantSplit/>
        </w:trPr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15–24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Mutation sensitivity and cleanup</w:t>
            </w:r>
          </w:p>
        </w:tc>
        <w:tc>
          <w:tcPr>
            <w:tcW w:type="dxa" w:w="447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Four mutation kills, repeatability and cleanup</w:t>
            </w:r>
          </w:p>
        </w:tc>
      </w:tr>
      <w:tr>
        <w:trPr>
          <w:cantSplit/>
        </w:trPr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24–36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Production Evidence Review</w:t>
            </w:r>
          </w:p>
        </w:tc>
        <w:tc>
          <w:tcPr>
            <w:tcW w:type="dxa" w:w="447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Pass/fail/unknown table</w:t>
            </w:r>
          </w:p>
        </w:tc>
      </w:tr>
      <w:tr>
        <w:trPr>
          <w:cantSplit/>
        </w:trPr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36–44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Demonstration evidence</w:t>
            </w:r>
          </w:p>
        </w:tc>
        <w:tc>
          <w:tcPr>
            <w:tcW w:type="dxa" w:w="447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One witness and limitation</w:t>
            </w:r>
          </w:p>
        </w:tc>
      </w:tr>
      <w:tr>
        <w:trPr>
          <w:cantSplit/>
        </w:trPr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44–51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Sampled defence and Gemini</w:t>
            </w:r>
          </w:p>
        </w:tc>
        <w:tc>
          <w:tcPr>
            <w:tcW w:type="dxa" w:w="447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Defence, verdict and AI record</w:t>
            </w:r>
          </w:p>
        </w:tc>
      </w:tr>
      <w:tr>
        <w:trPr>
          <w:cantSplit/>
        </w:trPr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51–56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Limitations and freeze decision</w:t>
            </w:r>
          </w:p>
        </w:tc>
        <w:tc>
          <w:tcPr>
            <w:tcW w:type="dxa" w:w="447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Owners and unknowns</w:t>
            </w:r>
          </w:p>
        </w:tc>
      </w:tr>
      <w:tr>
        <w:trPr>
          <w:cantSplit/>
        </w:trPr>
        <w:tc>
          <w:tcPr>
            <w:tcW w:type="dxa" w:w="119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56–60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Evidence draft and STOP</w:t>
            </w:r>
          </w:p>
        </w:tc>
        <w:tc>
          <w:tcPr>
            <w:tcW w:type="dxa" w:w="447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One honest PDF draft</w:t>
            </w:r>
          </w:p>
        </w:tc>
      </w:tr>
    </w:tbl>
    <w:p>
      <w:pPr>
        <w:pStyle w:val="Heading1"/>
      </w:pPr>
      <w:r>
        <w:t>Evidence and submission rules</w:t>
      </w:r>
    </w:p>
    <w:p>
      <w:pPr>
        <w:pStyle w:val="ListBullet"/>
      </w:pPr>
      <w:r>
        <w:t>Separate source analysis, bounded Node evidence, runtime evidence, deployment evidence and platform acceptance.</w:t>
      </w:r>
    </w:p>
    <w:p>
      <w:pPr>
        <w:pStyle w:val="ListBullet"/>
      </w:pPr>
      <w:r>
        <w:t>Keep missing or unauthenticated evidence as UNKNOWN.</w:t>
      </w:r>
    </w:p>
    <w:p>
      <w:pPr>
        <w:pStyle w:val="ListBullet"/>
      </w:pPr>
      <w:r>
        <w:t>Do not include credentials, tokens, cookies, secrets, raw bodies or unnecessary personal data.</w:t>
      </w:r>
    </w:p>
    <w:p>
      <w:pPr>
        <w:pStyle w:val="ListBullet"/>
      </w:pPr>
      <w:r>
        <w:t>Submit one reviewed PDF to the private S14 Assignment. There is no C14 Assignment.</w:t>
      </w:r>
    </w:p>
    <w:p>
      <w:pPr>
        <w:pStyle w:val="ListBullet"/>
      </w:pPr>
      <w:r>
        <w:t>No upload, release, deployment or final tag is authorised by this package.</w:t>
      </w:r>
    </w:p>
    <w:sectPr w:rsidR="00FC693F" w:rsidRPr="0006063C" w:rsidSect="00034616">
      <w:footerReference w:type="default" r:id="rId9"/>
      <w:pgSz w:w="12240" w:h="15840"/>
      <w:pgMar w:top="709" w:right="850" w:bottom="70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WEB TECHNOLOGIES 2026 · S14 · WIP/PREVIEW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5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