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C14 — Testing, Observability, Performance and Production Evidence</w:t>
      </w:r>
    </w:p>
    <w:p>
      <w:r>
        <w:t xml:space="preserve">RC10 current classroom transfer</w:t>
      </w:r>
    </w:p>
    <w:p>
      <w:r>
        <w:t xml:space="preserve">Current S14 classroom transfer</w:t>
      </w:r>
    </w:p>
    <w:p>
      <w:r>
        <w:t xml:space="preserve">Complete every listed microproject individually in class. These are bounded tasks, not completion of the historical full applications.</w:t>
      </w:r>
    </w:p>
    <w:p>
      <w:r>
        <w:t xml:space="preserve">P01 — Regression: actual persisted follow-up — editable path from the seminar package root: CLASSROOM_RC6/student/p01.mjs</w:t>
      </w:r>
    </w:p>
    <w:p>
      <w:r>
        <w:t xml:space="preserve">P03 — Production evidence: fail/unknown/pass gate — editable path from the seminar package root: CLASSROOM_RC6/student/p03.mjs</w:t>
      </w:r>
    </w:p>
    <w:p>
      <w:r>
        <w:t xml:space="preserve">Current entry: ../../../../ENTRY/S14.html</w:t>
      </w:r>
    </w:p>
    <w:p>
      <w:r>
        <w:t xml:space="preserve">Step-by-step tutorial: ../../../../TUTORIALS/S14.html</w:t>
      </w:r>
    </w:p>
    <w:p>
      <w:r>
        <w:t xml:space="preserve">Current evidence form: ../../../S14/WEBTECH_ASE_S14_EN_GB_v1.2.3_RC6/CLASSROOM_RC6/EVIDENCE_FORM.html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jc w:val="center"/>
      </w:pPr>
      <w:r>
        <w:rPr>
          <w:i/>
        </w:rPr>
        <w:t>Complete course handout · British English</w:t>
      </w:r>
    </w:p>
    <w:p>
      <w:pPr>
        <w:jc w:val="center"/>
      </w:pPr>
      <w:r>
        <w:rPr>
          <w:b/>
        </w:rPr>
        <w:t>Status: WIP/PREVIEW — not FINAL</w:t>
      </w:r>
    </w:p>
    <w:p>
      <w:r>
        <w:rPr>
          <w:b/>
        </w:rPr>
        <w:t>Purpose.</w:t>
      </w:r>
      <w:r>
        <w:t xml:space="preserve"> Build readiness conclusions from evidence that names its boundary, provenance, owner and limit.</w:t>
      </w:r>
    </w:p>
    <w:p>
      <w:pPr>
        <w:pStyle w:val="Heading1"/>
        <w:keepNext/>
      </w:pPr>
      <w:r>
        <w:t>Readiness and test boundaries</w:t>
      </w:r>
    </w:p>
    <w:p>
      <w:pPr>
        <w:pStyle w:val="Heading2"/>
        <w:keepNext/>
      </w:pPr>
      <w:r>
        <w:t>1. Unit tests isolate local rules</w:t>
      </w:r>
    </w:p>
    <w:p>
      <w:r>
        <w:t>Use a unit boundary for pure rules such as validation, reducers and parsers when collaborators are not part of the claim.</w:t>
      </w:r>
    </w:p>
    <w:p>
      <w:r>
        <w:rPr>
          <w:b/>
        </w:rPr>
        <w:t>Evidence boundary.</w:t>
      </w:r>
      <w:r>
        <w:t xml:space="preserve"> Test boundaries and cheapest sufficient witness; no broader runtime or deployment claim follows.</w:t>
      </w:r>
    </w:p>
    <w:p>
      <w:pPr>
        <w:pStyle w:val="Heading2"/>
        <w:keepNext/>
      </w:pPr>
      <w:r>
        <w:t>2. Integration tests join real collaborators</w:t>
      </w:r>
    </w:p>
    <w:p>
      <w:r>
        <w:t>Use integration evidence when the claim joins real collaborators such as repositories, constraints, queues or adapters.</w:t>
      </w:r>
    </w:p>
    <w:p>
      <w:r>
        <w:rPr>
          <w:b/>
        </w:rPr>
        <w:t>Evidence boundary.</w:t>
      </w:r>
      <w:r>
        <w:t xml:space="preserve"> Test boundaries and cheapest sufficient witness; no broader runtime or deployment claim follows.</w:t>
      </w:r>
    </w:p>
    <w:p>
      <w:pPr>
        <w:pStyle w:val="Heading2"/>
        <w:keepNext/>
      </w:pPr>
      <w:r>
        <w:t>3. API tests verify HTTP contracts</w:t>
      </w:r>
    </w:p>
    <w:p>
      <w:r>
        <w:t>Use a loopback API boundary for method, status, headers, body, persistence and public failure contracts.</w:t>
      </w:r>
    </w:p>
    <w:p>
      <w:r>
        <w:rPr>
          <w:b/>
        </w:rPr>
        <w:t>Evidence boundary.</w:t>
      </w:r>
      <w:r>
        <w:t xml:space="preserve"> Test boundaries and cheapest sufficient witness; no broader runtime or deployment claim follows.</w:t>
      </w:r>
    </w:p>
    <w:p>
      <w:pPr>
        <w:pStyle w:val="Heading2"/>
        <w:keepNext/>
      </w:pPr>
      <w:r>
        <w:t>4. Browser tests verify browser-owned behavior</w:t>
      </w:r>
    </w:p>
    <w:p>
      <w:r>
        <w:t>Use a real browser when focus, navigation, storage, Worker, Service Worker or iframe lifecycle owns the behaviour.</w:t>
      </w:r>
    </w:p>
    <w:p>
      <w:r>
        <w:rPr>
          <w:b/>
        </w:rPr>
        <w:t>Evidence boundary.</w:t>
      </w:r>
      <w:r>
        <w:t xml:space="preserve"> Test boundaries and cheapest sufficient witness; no broader runtime or deployment claim follows.</w:t>
      </w:r>
    </w:p>
    <w:p>
      <w:pPr>
        <w:pStyle w:val="Heading2"/>
        <w:keepNext/>
      </w:pPr>
      <w:r>
        <w:t>5. Use the cheapest sufficient boundary</w:t>
      </w:r>
    </w:p>
    <w:p>
      <w:r>
        <w:t>Choose the lowest boundary that can observe the claim. Higher boundaries add lifecycle cost and additional failure modes.</w:t>
      </w:r>
    </w:p>
    <w:p>
      <w:r>
        <w:rPr>
          <w:b/>
        </w:rPr>
        <w:t>Evidence boundary.</w:t>
      </w:r>
      <w:r>
        <w:t xml:space="preserve"> Test boundaries and cheapest sufficient witness; no broader runtime or deployment claim follows.</w:t>
      </w:r>
    </w:p>
    <w:p>
      <w:pPr>
        <w:pStyle w:val="Heading1"/>
        <w:keepNext/>
      </w:pPr>
      <w:r>
        <w:t>Sensitivity, determinism and regression</w:t>
      </w:r>
    </w:p>
    <w:p>
      <w:pPr>
        <w:pStyle w:val="Heading2"/>
        <w:keepNext/>
      </w:pPr>
      <w:r>
        <w:t>6. Worked example — test boundary selector</w:t>
      </w:r>
    </w:p>
    <w:p>
      <w:r>
        <w:t>The canonical selector maps pure policy, persistence and HTTP semantics to different boundaries. It does not run in this package.</w:t>
      </w:r>
    </w:p>
    <w:p>
      <w:r>
        <w:rPr>
          <w:b/>
        </w:rPr>
        <w:t>Evidence boundary.</w:t>
      </w:r>
      <w:r>
        <w:t xml:space="preserve"> Sensitivity, determinism and regression structure; no broader runtime or deployment claim follows.</w:t>
      </w:r>
    </w:p>
    <w:p>
      <w:pPr>
        <w:pStyle w:val="Heading2"/>
        <w:keepNext/>
      </w:pPr>
      <w:r>
        <w:t>7. Test observable behavior</w:t>
      </w:r>
    </w:p>
    <w:p>
      <w:r>
        <w:t>Assert public behaviour and persisted state. Avoid private choreography unless that sequence is itself the contract.</w:t>
      </w:r>
    </w:p>
    <w:p>
      <w:r>
        <w:rPr>
          <w:b/>
        </w:rPr>
        <w:t>Evidence boundary.</w:t>
      </w:r>
      <w:r>
        <w:t xml:space="preserve"> Sensitivity, determinism and regression structure; no broader runtime or deployment claim follows.</w:t>
      </w:r>
    </w:p>
    <w:p>
      <w:pPr>
        <w:pStyle w:val="Heading2"/>
        <w:keepNext/>
      </w:pPr>
      <w:r>
        <w:t>8. Determinism requires lifecycle ownership</w:t>
      </w:r>
    </w:p>
    <w:p>
      <w:r>
        <w:t>Deterministic evidence owns setup, readiness, fixtures, clocks and cleanup. A leaked resource can contaminate later runs.</w:t>
      </w:r>
    </w:p>
    <w:p>
      <w:r>
        <w:rPr>
          <w:b/>
        </w:rPr>
        <w:t>Evidence boundary.</w:t>
      </w:r>
      <w:r>
        <w:t xml:space="preserve"> Sensitivity, determinism and regression structure; no broader runtime or deployment claim follows.</w:t>
      </w:r>
    </w:p>
    <w:p>
      <w:pPr>
        <w:pStyle w:val="Heading2"/>
        <w:keepNext/>
      </w:pPr>
      <w:r>
        <w:t>9. Avoid arbitrary sleeps</w:t>
      </w:r>
    </w:p>
    <w:p>
      <w:r>
        <w:t>Replace arbitrary delays with explicit events, promises, conditions or controlled time.</w:t>
      </w:r>
    </w:p>
    <w:p>
      <w:r>
        <w:rPr>
          <w:b/>
        </w:rPr>
        <w:t>Evidence boundary.</w:t>
      </w:r>
      <w:r>
        <w:t xml:space="preserve"> Sensitivity, determinism and regression structure; no broader runtime or deployment claim follows.</w:t>
      </w:r>
    </w:p>
    <w:p>
      <w:pPr>
        <w:pStyle w:val="Heading2"/>
        <w:keepNext/>
      </w:pPr>
      <w:r>
        <w:t>10. Passing tests can be insensitive</w:t>
      </w:r>
    </w:p>
    <w:p>
      <w:r>
        <w:t>A green happy path can miss wrong status, absent persistence and unsafe public errors.</w:t>
      </w:r>
    </w:p>
    <w:p>
      <w:r>
        <w:rPr>
          <w:b/>
        </w:rPr>
        <w:t>Evidence boundary.</w:t>
      </w:r>
      <w:r>
        <w:t xml:space="preserve"> Sensitivity, determinism and regression structure; no broader runtime or deployment claim follows.</w:t>
      </w:r>
    </w:p>
    <w:p>
      <w:pPr>
        <w:pStyle w:val="Heading2"/>
        <w:keepNext/>
      </w:pPr>
      <w:r>
        <w:t>11. Seed realistic defects</w:t>
      </w:r>
    </w:p>
    <w:p>
      <w:r>
        <w:t>Introduce plausible faults and predict the specific failure vector. Surviving faults require interpretation.</w:t>
      </w:r>
    </w:p>
    <w:p>
      <w:r>
        <w:rPr>
          <w:b/>
        </w:rPr>
        <w:t>Evidence boundary.</w:t>
      </w:r>
      <w:r>
        <w:t xml:space="preserve"> Sensitivity, determinism and regression structure; no broader runtime or deployment claim follows.</w:t>
      </w:r>
    </w:p>
    <w:p>
      <w:pPr>
        <w:pStyle w:val="Heading2"/>
        <w:keepNext/>
      </w:pPr>
      <w:r>
        <w:t>12. Worked example — seeded defect sensitivity</w:t>
      </w:r>
    </w:p>
    <w:p>
      <w:r>
        <w:t>The exact seeded-defect example separates status, persistence and sanitisation failures, but its cleanup is not fully guarded.</w:t>
      </w:r>
    </w:p>
    <w:p>
      <w:r>
        <w:rPr>
          <w:b/>
        </w:rPr>
        <w:t>Evidence boundary.</w:t>
      </w:r>
      <w:r>
        <w:t xml:space="preserve"> Sensitivity, determinism and regression structure; no broader runtime or deployment claim follows.</w:t>
      </w:r>
    </w:p>
    <w:p>
      <w:pPr>
        <w:pStyle w:val="Heading2"/>
        <w:keepNext/>
      </w:pPr>
      <w:r>
        <w:t>13. Coverage is execution evidence</w:t>
      </w:r>
    </w:p>
    <w:p>
      <w:r>
        <w:t>Coverage is execution evidence. It does not establish that assertions distinguish the behaviour that matters.</w:t>
      </w:r>
    </w:p>
    <w:p>
      <w:r>
        <w:rPr>
          <w:b/>
        </w:rPr>
        <w:t>Evidence boundary.</w:t>
      </w:r>
      <w:r>
        <w:t xml:space="preserve"> Sensitivity, determinism and regression structure; no broader runtime or deployment claim follows.</w:t>
      </w:r>
    </w:p>
    <w:p>
      <w:pPr>
        <w:pStyle w:val="Heading2"/>
        <w:keepNext/>
      </w:pPr>
      <w:r>
        <w:t xml:space="preserve">14. Separate baseline, objective and regression</w:t>
      </w:r>
    </w:p>
    <w:p>
      <w:r>
        <w:t>Baseline validates infrastructure, objective differentiates the required implementation and regression protects other behaviour.</w:t>
      </w:r>
    </w:p>
    <w:p>
      <w:r>
        <w:rPr>
          <w:b/>
        </w:rPr>
        <w:t>Evidence boundary.</w:t>
      </w:r>
      <w:r>
        <w:t xml:space="preserve"> Sensitivity, determinism and regression structure; no broader runtime or deployment claim follows.</w:t>
      </w:r>
    </w:p>
    <w:p>
      <w:pPr>
        <w:pStyle w:val="Heading1"/>
        <w:keepNext/>
      </w:pPr>
      <w:r>
        <w:t>Performance evidence</w:t>
      </w:r>
    </w:p>
    <w:p>
      <w:pPr>
        <w:pStyle w:val="Heading2"/>
        <w:keepNext/>
      </w:pPr>
      <w:r>
        <w:t>15. “Fast” needs a scenario</w:t>
      </w:r>
    </w:p>
    <w:p>
      <w:r>
        <w:t>A performance claim requires a declared operation, state, warm-up, sample size, concurrency, timeout, interval, statistic and environment.</w:t>
      </w:r>
    </w:p>
    <w:p>
      <w:r>
        <w:rPr>
          <w:b/>
        </w:rPr>
        <w:t>Evidence boundary.</w:t>
      </w:r>
      <w:r>
        <w:t xml:space="preserve"> Performance scenarios, concurrency and tail latency; no broader runtime or deployment claim follows.</w:t>
      </w:r>
    </w:p>
    <w:p>
      <w:pPr>
        <w:pStyle w:val="Heading2"/>
        <w:keepNext/>
      </w:pPr>
      <w:r>
        <w:t>16. Concurrency is not throughput</w:t>
      </w:r>
    </w:p>
    <w:p>
      <w:r>
        <w:t>Concurrency is in-flight work. Throughput also needs completions and scenario duration.</w:t>
      </w:r>
    </w:p>
    <w:p>
      <w:r>
        <w:rPr>
          <w:b/>
        </w:rPr>
        <w:t>Evidence boundary.</w:t>
      </w:r>
      <w:r>
        <w:t xml:space="preserve"> Performance scenarios, concurrency and tail latency; no broader runtime or deployment claim follows.</w:t>
      </w:r>
    </w:p>
    <w:p>
      <w:pPr>
        <w:pStyle w:val="Heading2"/>
        <w:keepNext/>
      </w:pPr>
      <w:r>
        <w:t>17. Bound concurrent work</w:t>
      </w:r>
    </w:p>
    <w:p>
      <w:r>
        <w:t>Bound scheduling and settle every operation once. Unbounded Promise.all is not a load methodology.</w:t>
      </w:r>
    </w:p>
    <w:p>
      <w:r>
        <w:rPr>
          <w:b/>
        </w:rPr>
        <w:t>Evidence boundary.</w:t>
      </w:r>
      <w:r>
        <w:t xml:space="preserve"> Performance scenarios, concurrency and tail latency; no broader runtime or deployment claim follows.</w:t>
      </w:r>
    </w:p>
    <w:p>
      <w:pPr>
        <w:pStyle w:val="Heading2"/>
        <w:keepNext/>
      </w:pPr>
      <w:r>
        <w:t>18. Classify HTTP and transport outcomes</w:t>
      </w:r>
    </w:p>
    <w:p>
      <w:r>
        <w:t>HTTP failure, transport rejection and local timeout are distinct classes even when the client API fulfils the promise for HTTP 500.</w:t>
      </w:r>
    </w:p>
    <w:p>
      <w:r>
        <w:rPr>
          <w:b/>
        </w:rPr>
        <w:t>Evidence boundary.</w:t>
      </w:r>
      <w:r>
        <w:t xml:space="preserve"> Performance scenarios, concurrency and tail latency; no broader runtime or deployment claim follows.</w:t>
      </w:r>
    </w:p>
    <w:p>
      <w:pPr>
        <w:pStyle w:val="Heading2"/>
        <w:keepNext/>
      </w:pPr>
      <w:r>
        <w:t>19. Measure the intended interval</w:t>
      </w:r>
    </w:p>
    <w:p>
      <w:r>
        <w:t>Header-arrival and body-complete latency are different intervals. Measure the interval named by the claim.</w:t>
      </w:r>
    </w:p>
    <w:p>
      <w:r>
        <w:rPr>
          <w:b/>
        </w:rPr>
        <w:t>Evidence boundary.</w:t>
      </w:r>
      <w:r>
        <w:t xml:space="preserve"> Performance scenarios, concurrency and tail latency; no broader runtime or deployment claim follows.</w:t>
      </w:r>
    </w:p>
    <w:p>
      <w:pPr>
        <w:pStyle w:val="Heading2"/>
        <w:keepNext/>
      </w:pPr>
      <w:r>
        <w:t>20. Mean can hide tails</w:t>
      </w:r>
    </w:p>
    <w:p>
      <w:r>
        <w:t>A mean can conceal a severe tail. Report distribution and failures, not a single reassuring average.</w:t>
      </w:r>
    </w:p>
    <w:p>
      <w:r>
        <w:rPr>
          <w:b/>
        </w:rPr>
        <w:t>Evidence boundary.</w:t>
      </w:r>
      <w:r>
        <w:t xml:space="preserve"> Performance scenarios, concurrency and tail latency; no broader runtime or deployment claim follows.</w:t>
      </w:r>
    </w:p>
    <w:p>
      <w:pPr>
        <w:pStyle w:val="Heading2"/>
        <w:keepNext/>
      </w:pPr>
      <w:r>
        <w:t>21. Worked example — tail latency trace</w:t>
      </w:r>
    </w:p>
    <w:p>
      <w:r>
        <w:t>The canonical tail example provides a bounded teaching sample, not a capacity or SLO result.</w:t>
      </w:r>
    </w:p>
    <w:p>
      <w:r>
        <w:rPr>
          <w:b/>
        </w:rPr>
        <w:t>Evidence boundary.</w:t>
      </w:r>
      <w:r>
        <w:t xml:space="preserve"> Performance scenarios, concurrency and tail latency; no broader runtime or deployment claim follows.</w:t>
      </w:r>
    </w:p>
    <w:p>
      <w:pPr>
        <w:pStyle w:val="Heading2"/>
        <w:keepNext/>
      </w:pPr>
      <w:r>
        <w:t>22. Percentiles need definition</w:t>
      </w:r>
    </w:p>
    <w:p>
      <w:r>
        <w:t>State the percentile algorithm, population, warm-up policy, sample size and environment.</w:t>
      </w:r>
    </w:p>
    <w:p>
      <w:r>
        <w:rPr>
          <w:b/>
        </w:rPr>
        <w:t>Evidence boundary.</w:t>
      </w:r>
      <w:r>
        <w:t xml:space="preserve"> Performance scenarios, concurrency and tail latency; no broader runtime or deployment claim follows.</w:t>
      </w:r>
    </w:p>
    <w:p>
      <w:pPr>
        <w:pStyle w:val="Heading1"/>
        <w:keepNext/>
      </w:pPr>
      <w:r>
        <w:t>Observability evidence</w:t>
      </w:r>
    </w:p>
    <w:p>
      <w:pPr>
        <w:pStyle w:val="Heading2"/>
        <w:keepNext/>
      </w:pPr>
      <w:r>
        <w:t>23. Observability connects symptoms to work</w:t>
      </w:r>
    </w:p>
    <w:p>
      <w:r>
        <w:t>Logs record events, metrics aggregate values and traces link operations across boundaries.</w:t>
      </w:r>
    </w:p>
    <w:p>
      <w:r>
        <w:rPr>
          <w:b/>
        </w:rPr>
        <w:t>Evidence boundary.</w:t>
      </w:r>
      <w:r>
        <w:t xml:space="preserve"> Observability schemas, redaction and cardinality; no broader runtime or deployment claim follows.</w:t>
      </w:r>
    </w:p>
    <w:p>
      <w:pPr>
        <w:pStyle w:val="Heading2"/>
        <w:keepNext/>
      </w:pPr>
      <w:r>
        <w:t>24. Structure logs around stable schemas</w:t>
      </w:r>
    </w:p>
    <w:p>
      <w:r>
        <w:t>Prefer a stable allowlisted schema with internal correlation, route templates, status and bounded duration.</w:t>
      </w:r>
    </w:p>
    <w:p>
      <w:r>
        <w:rPr>
          <w:b/>
        </w:rPr>
        <w:t>Evidence boundary.</w:t>
      </w:r>
      <w:r>
        <w:t xml:space="preserve"> Observability schemas, redaction and cardinality; no broader runtime or deployment claim follows.</w:t>
      </w:r>
    </w:p>
    <w:p>
      <w:pPr>
        <w:pStyle w:val="Heading2"/>
        <w:keepNext/>
      </w:pPr>
      <w:r>
        <w:t xml:space="preserve">25. Minimise sensitive data</w:t>
      </w:r>
    </w:p>
    <w:p>
      <w:r>
        <w:t>Do not place request bodies, cookies, credentials, ORM instances or raw errors into the evidence pack.</w:t>
      </w:r>
    </w:p>
    <w:p>
      <w:r>
        <w:rPr>
          <w:b/>
        </w:rPr>
        <w:t>Evidence boundary.</w:t>
      </w:r>
      <w:r>
        <w:t xml:space="preserve"> Observability schemas, redaction and cardinality; no broader runtime or deployment claim follows.</w:t>
      </w:r>
    </w:p>
    <w:p>
      <w:pPr>
        <w:pStyle w:val="Heading2"/>
        <w:keepNext/>
      </w:pPr>
      <w:r>
        <w:t>26. Worked example — safe log projection</w:t>
      </w:r>
    </w:p>
    <w:p>
      <w:r>
        <w:t>The canonical log projection retains selected fields, but raw path and caller request ID still need trust and cardinality policy.</w:t>
      </w:r>
    </w:p>
    <w:p>
      <w:r>
        <w:rPr>
          <w:b/>
        </w:rPr>
        <w:t>Evidence boundary.</w:t>
      </w:r>
      <w:r>
        <w:t xml:space="preserve"> Observability schemas, redaction and cardinality; no broader runtime or deployment claim follows.</w:t>
      </w:r>
    </w:p>
    <w:p>
      <w:pPr>
        <w:pStyle w:val="Heading2"/>
        <w:keepNext/>
      </w:pPr>
      <w:r>
        <w:t>27. Metrics need bounded cardinality</w:t>
      </w:r>
    </w:p>
    <w:p>
      <w:r>
        <w:t>Labels must have bounded cardinality. Raw URLs, emails, request IDs and arbitrary error text are unsuitable metric labels.</w:t>
      </w:r>
    </w:p>
    <w:p>
      <w:r>
        <w:rPr>
          <w:b/>
        </w:rPr>
        <w:t>Evidence boundary.</w:t>
      </w:r>
      <w:r>
        <w:t xml:space="preserve"> Observability schemas, redaction and cardinality; no broader runtime or deployment claim follows.</w:t>
      </w:r>
    </w:p>
    <w:p>
      <w:pPr>
        <w:pStyle w:val="Heading1"/>
        <w:keepNext/>
      </w:pPr>
      <w:r>
        <w:t>Production gates</w:t>
      </w:r>
    </w:p>
    <w:p>
      <w:pPr>
        <w:pStyle w:val="Heading2"/>
        <w:keepNext/>
      </w:pPr>
      <w:r>
        <w:t>28. Development is not deployment</w:t>
      </w:r>
    </w:p>
    <w:p>
      <w:r>
        <w:t>Development, locked install, build, start, health, shutdown and deployment are separate gates.</w:t>
      </w:r>
    </w:p>
    <w:p>
      <w:r>
        <w:rPr>
          <w:b/>
        </w:rPr>
        <w:t>Evidence boundary.</w:t>
      </w:r>
      <w:r>
        <w:t xml:space="preserve"> Build, runtime, deployment and security evidence; no broader runtime or deployment claim follows.</w:t>
      </w:r>
    </w:p>
    <w:p>
      <w:pPr>
        <w:pStyle w:val="Heading2"/>
        <w:keepNext/>
      </w:pPr>
      <w:r>
        <w:t>29. Build success does not prove runtime</w:t>
      </w:r>
    </w:p>
    <w:p>
      <w:r>
        <w:t>A successful build can still fail to start, find configuration, serve routes or connect dependencies.</w:t>
      </w:r>
    </w:p>
    <w:p>
      <w:r>
        <w:rPr>
          <w:b/>
        </w:rPr>
        <w:t>Evidence boundary.</w:t>
      </w:r>
      <w:r>
        <w:t xml:space="preserve"> Build, runtime, deployment and security evidence; no broader runtime or deployment claim follows.</w:t>
      </w:r>
    </w:p>
    <w:p>
      <w:pPr>
        <w:pStyle w:val="Heading2"/>
        <w:keepNext/>
      </w:pPr>
      <w:r>
        <w:t>30. Deployment owns external boundaries</w:t>
      </w:r>
    </w:p>
    <w:p>
      <w:r>
        <w:t>TLS termination, proxy trust, secret injection, restart policy, volumes and log collection may belong to deployment owners.</w:t>
      </w:r>
    </w:p>
    <w:p>
      <w:r>
        <w:rPr>
          <w:b/>
        </w:rPr>
        <w:t>Evidence boundary.</w:t>
      </w:r>
      <w:r>
        <w:t xml:space="preserve"> Build, runtime, deployment and security evidence; no broader runtime or deployment claim follows.</w:t>
      </w:r>
    </w:p>
    <w:p>
      <w:pPr>
        <w:pStyle w:val="Heading2"/>
        <w:keepNext/>
      </w:pPr>
      <w:r>
        <w:t>31. Security tools produce findings</w:t>
      </w:r>
    </w:p>
    <w:p>
      <w:r>
        <w:t>Audits and scanners have scope, configuration, authentication, false positives and blind spots.</w:t>
      </w:r>
    </w:p>
    <w:p>
      <w:r>
        <w:rPr>
          <w:b/>
        </w:rPr>
        <w:t>Evidence boundary.</w:t>
      </w:r>
      <w:r>
        <w:t xml:space="preserve"> Build, runtime, deployment and security evidence; no broader runtime or deployment claim follows.</w:t>
      </w:r>
    </w:p>
    <w:p>
      <w:pPr>
        <w:pStyle w:val="Heading2"/>
        <w:keepNext/>
      </w:pPr>
      <w:r>
        <w:t>32. Tool failure is unknown</w:t>
      </w:r>
    </w:p>
    <w:p>
      <w:r>
        <w:t>A tool that failed to run produced unknown evidence, not a clean report.</w:t>
      </w:r>
    </w:p>
    <w:p>
      <w:r>
        <w:rPr>
          <w:b/>
        </w:rPr>
        <w:t>Evidence boundary.</w:t>
      </w:r>
      <w:r>
        <w:t xml:space="preserve"> Build, runtime, deployment and security evidence; no broader runtime or deployment claim follows.</w:t>
      </w:r>
    </w:p>
    <w:p>
      <w:pPr>
        <w:pStyle w:val="Heading2"/>
        <w:keepNext/>
      </w:pPr>
      <w:r>
        <w:t>33. Worked example — evidence tristate gate</w:t>
      </w:r>
    </w:p>
    <w:p>
      <w:r>
        <w:t>A tri-state gate preserves pass, fail and unknown, but truthy values are not typed or authenticated evidence.</w:t>
      </w:r>
    </w:p>
    <w:p>
      <w:r>
        <w:rPr>
          <w:b/>
        </w:rPr>
        <w:t>Evidence boundary.</w:t>
      </w:r>
      <w:r>
        <w:t xml:space="preserve"> Build, runtime, deployment and security evidence; no broader runtime or deployment claim follows.</w:t>
      </w:r>
    </w:p>
    <w:p>
      <w:pPr>
        <w:pStyle w:val="Heading1"/>
        <w:keepNext/>
      </w:pPr>
      <w:r>
        <w:t>Ownership, maintainability and AI change safety</w:t>
      </w:r>
    </w:p>
    <w:p>
      <w:pPr>
        <w:pStyle w:val="Heading2"/>
        <w:keepNext/>
      </w:pPr>
      <w:r>
        <w:t>34. Findings need ownership</w:t>
      </w:r>
    </w:p>
    <w:p>
      <w:r>
        <w:t>Each finding needs a stable rule, severity, evidence, owner, action and any scoped exception with expiry.</w:t>
      </w:r>
    </w:p>
    <w:p>
      <w:r>
        <w:rPr>
          <w:b/>
        </w:rPr>
        <w:t>Evidence boundary.</w:t>
      </w:r>
      <w:r>
        <w:t xml:space="preserve"> Ownership, maintainability, AI impact and readiness argument; no broader runtime or deployment claim follows.</w:t>
      </w:r>
    </w:p>
    <w:p>
      <w:pPr>
        <w:pStyle w:val="Heading2"/>
        <w:keepNext/>
      </w:pPr>
      <w:r>
        <w:t>35. Maintainability is change safety</w:t>
      </w:r>
    </w:p>
    <w:p>
      <w:r>
        <w:t>Maintainability is the capacity to change safely across responsibilities, contracts, cleanup and dependencies.</w:t>
      </w:r>
    </w:p>
    <w:p>
      <w:r>
        <w:rPr>
          <w:b/>
        </w:rPr>
        <w:t>Evidence boundary.</w:t>
      </w:r>
      <w:r>
        <w:t xml:space="preserve"> Ownership, maintainability, AI impact and readiness argument; no broader runtime or deployment claim follows.</w:t>
      </w:r>
    </w:p>
    <w:p>
      <w:pPr>
        <w:pStyle w:val="Heading2"/>
        <w:keepNext/>
      </w:pPr>
      <w:r>
        <w:t>36. AI-assisted changes start with impact maps</w:t>
      </w:r>
    </w:p>
    <w:p>
      <w:r>
        <w:t>Before AI-assisted change, map routes, trusted identity, persistence, events, old contracts, cleanup and allowed files.</w:t>
      </w:r>
    </w:p>
    <w:p>
      <w:r>
        <w:rPr>
          <w:b/>
        </w:rPr>
        <w:t>Evidence boundary.</w:t>
      </w:r>
      <w:r>
        <w:t xml:space="preserve"> Ownership, maintainability, AI impact and readiness argument; no broader runtime or deployment claim follows.</w:t>
      </w:r>
    </w:p>
    <w:p>
      <w:pPr>
        <w:pStyle w:val="Heading2"/>
        <w:keepNext/>
      </w:pPr>
      <w:r>
        <w:t>37. Commit/event ordering matters</w:t>
      </w:r>
    </w:p>
    <w:p>
      <w:r>
        <w:t>Commit-before-event and delivery-after-commit need explicit failure policy such as retry, pending state or outbox.</w:t>
      </w:r>
    </w:p>
    <w:p>
      <w:r>
        <w:rPr>
          <w:b/>
        </w:rPr>
        <w:t>Evidence boundary.</w:t>
      </w:r>
      <w:r>
        <w:t xml:space="preserve"> Ownership, maintainability, AI impact and readiness argument; no broader runtime or deployment claim follows.</w:t>
      </w:r>
    </w:p>
    <w:p>
      <w:pPr>
        <w:pStyle w:val="Heading2"/>
        <w:keepNext/>
      </w:pPr>
      <w:r>
        <w:t>38. Production readiness is an argument</w:t>
      </w:r>
    </w:p>
    <w:p>
      <w:r>
        <w:t>Production readiness is a bounded argument: scope, environment, evidence, pass/fail/unknown, owners, remediation and limitations.</w:t>
      </w:r>
    </w:p>
    <w:p>
      <w:r>
        <w:rPr>
          <w:b/>
        </w:rPr>
        <w:t>Evidence boundary.</w:t>
      </w:r>
      <w:r>
        <w:t xml:space="preserve"> Ownership, maintainability, AI impact and readiness argument; no broader runtime or deployment claim follows.</w:t>
      </w:r>
    </w:p>
    <w:p>
      <w:pPr>
        <w:pStyle w:val="Heading1"/>
        <w:keepNext/>
      </w:pPr>
      <w:r>
        <w:t>Week 14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9F0F4"/>
            <w:vAlign w:val="center"/>
          </w:tcPr>
          <w:p>
            <w:r>
              <w:rPr>
                <w:b/>
              </w:rPr>
              <w:t>Object</w:t>
            </w:r>
          </w:p>
        </w:tc>
        <w:tc>
          <w:tcPr>
            <w:tcW w:type="dxa" w:w="3389"/>
            <w:shd w:fill="E9F0F4"/>
            <w:vAlign w:val="center"/>
          </w:tcPr>
          <w:p>
            <w:r>
              <w:rPr>
                <w:b/>
              </w:rPr>
              <w:t>Route</w:t>
            </w:r>
          </w:p>
        </w:tc>
        <w:tc>
          <w:tcPr>
            <w:tcW w:type="dxa" w:w="3389"/>
            <w:shd w:fill="E9F0F4"/>
            <w:vAlign w:val="center"/>
          </w:tcPr>
          <w:p>
            <w:r>
              <w:rPr>
                <w:b/>
              </w:rPr>
              <w:t>Base obligation</w:t>
            </w:r>
          </w:p>
        </w:tc>
      </w:tr>
      <w:tr>
        <w:trPr>
          <w:cantSplit/>
        </w:trPr>
        <w:tc>
          <w:tcPr>
            <w:tcW w:type="dxa" w:w="3389"/>
          </w:tcPr>
          <w:p>
            <w:r>
              <w:t xml:space="preserve">Historical full-application context; implementation is optional advanced reference, outside the current seminar task allocation. Current task IDs, titles and editable paths appear in the RC10 transfer section of this document. P01 Regression Harness</w:t>
            </w:r>
          </w:p>
        </w:tc>
        <w:tc>
          <w:tcPr>
            <w:tcW w:type="dxa" w:w="3389"/>
          </w:tcPr>
          <w:p>
            <w:r>
              <w:t>Required portfolio close</w:t>
            </w:r>
          </w:p>
        </w:tc>
        <w:tc>
          <w:tcPr>
            <w:tcW w:type="dxa" w:w="3389"/>
          </w:tcPr>
          <w:p>
            <w:r>
              <w:t>Complete, repeat, attribute mutations and review cleanup evidence</w:t>
            </w:r>
          </w:p>
        </w:tc>
      </w:tr>
      <w:tr>
        <w:trPr>
          <w:cantSplit/>
        </w:trPr>
        <w:tc>
          <w:tcPr>
            <w:tcW w:type="dxa" w:w="3389"/>
          </w:tcPr>
          <w:p>
            <w:r>
              <w:t xml:space="preserve">Historical full-application context; implementation is optional advanced reference, outside the current seminar task allocation. Current task IDs, titles and editable paths appear in the RC10 transfer section of this document. P02 Load and Failure Probe</w:t>
            </w:r>
          </w:p>
        </w:tc>
        <w:tc>
          <w:tcPr>
            <w:tcW w:type="dxa" w:w="3389"/>
          </w:tcPr>
          <w:p>
            <w:r>
              <w:t>Optional advanced</w:t>
            </w:r>
          </w:p>
        </w:tc>
        <w:tc>
          <w:tcPr>
            <w:tcW w:type="dxa" w:w="3389"/>
          </w:tcPr>
          <w:p>
            <w:r>
              <w:t>Bounded local-only evidence in a separately qualified environment</w:t>
            </w:r>
          </w:p>
        </w:tc>
      </w:tr>
      <w:tr>
        <w:trPr>
          <w:cantSplit/>
        </w:trPr>
        <w:tc>
          <w:tcPr>
            <w:tcW w:type="dxa" w:w="3389"/>
          </w:tcPr>
          <w:p>
            <w:r>
              <w:t xml:space="preserve">Historical full-application context; implementation is optional advanced reference, outside the current seminar task allocation. Current task IDs, titles and editable paths appear in the RC10 transfer section of this document. P03 Production Evidence Review</w:t>
            </w:r>
          </w:p>
        </w:tc>
        <w:tc>
          <w:tcPr>
            <w:tcW w:type="dxa" w:w="3389"/>
          </w:tcPr>
          <w:p>
            <w:r>
              <w:t>Required capstone review</w:t>
            </w:r>
          </w:p>
        </w:tc>
        <w:tc>
          <w:tcPr>
            <w:tcW w:type="dxa" w:w="3389"/>
          </w:tcPr>
          <w:p>
            <w:r>
              <w:t>Apply pass/fail/unknown table to the student project</w:t>
            </w:r>
          </w:p>
        </w:tc>
      </w:tr>
      <w:tr>
        <w:trPr>
          <w:cantSplit/>
        </w:trPr>
        <w:tc>
          <w:tcPr>
            <w:tcW w:type="dxa" w:w="3389"/>
          </w:tcPr>
          <w:p>
            <w:r>
              <w:t xml:space="preserve">Historical full-application context; implementation is optional advanced reference, outside the current seminar task allocation. Current task IDs, titles and editable paths appear in the RC10 transfer section of this document. P04 Capstone Requirement Extension</w:t>
            </w:r>
          </w:p>
        </w:tc>
        <w:tc>
          <w:tcPr>
            <w:tcW w:type="dxa" w:w="3389"/>
          </w:tcPr>
          <w:p>
            <w:r>
              <w:t>Separate assessment bank</w:t>
            </w:r>
          </w:p>
        </w:tc>
        <w:tc>
          <w:tcPr>
            <w:tcW w:type="dxa" w:w="3389"/>
          </w:tcPr>
          <w:p>
            <w:r>
              <w:t>Not part of ordinary S14</w:t>
            </w:r>
          </w:p>
        </w:tc>
      </w:tr>
    </w:tbl>
    <w:p>
      <w:pPr>
        <w:pStyle w:val="Heading1"/>
        <w:keepNext/>
      </w:pPr>
      <w:r>
        <w:t>Conclusion boundary</w:t>
      </w:r>
    </w:p>
    <w:p>
      <w:r>
        <w:t>No source hash, green test, build artifact or fixed model in this package authorises publication, deployment, a release or a FINAL tag.</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C14 handout · WIP/PREVIEW · 60-minute content limit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