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Course 02 preparation and transfer</w:t>
      </w:r>
    </w:p>
    <w:p>
      <w:pPr>
        <w:pStyle w:val="Subtitle"/>
      </w:pPr>
      <w:r>
        <w:t>Web Technologies 2026  Course 02  English  v1.2.2 RC1</w:t>
      </w:r>
    </w:p>
    <w:p>
      <w:r>
        <w:t>Separate readiness before Course 02 from transfer after class. Use the six local examples offline. U02 and U04 are historical topic identifiers, not week numbers or extra prerequisite downloads.</w:t>
      </w:r>
    </w:p>
    <w:p>
      <w:pPr>
        <w:pStyle w:val="Heading1"/>
      </w:pPr>
      <w:r>
        <w:t>Prepare before Course 02</w:t>
      </w:r>
    </w:p>
    <w:p>
      <w:r>
        <w:t>Allow about 10 minutes. Extract the whole package, run VERIFY_PACKAGE for your platform and open START_COURSE_02. Keep the relative directories together. If verification fails, stop and retain the failure output.</w:t>
      </w:r>
    </w:p>
    <w:p>
      <w:pPr>
        <w:pStyle w:val="ListBullet"/>
      </w:pPr>
      <w:r>
        <w:t>Open example 01-semantic-form-relationships/index.html and locate the email label, instruction, attendance group and invalid state. Use fictional values.</w:t>
      </w:r>
    </w:p>
    <w:p>
      <w:pPr>
        <w:pStyle w:val="ListBullet"/>
      </w:pPr>
      <w:r>
        <w:t>Predict which declaration wins in example 02-cascade-layer-order before opening computed styles. Write one sentence explaining the declared scope.</w:t>
      </w:r>
    </w:p>
    <w:p>
      <w:pPr>
        <w:pStyle w:val="ListBullet"/>
      </w:pPr>
      <w:r>
        <w:t>Recall the Week 01 distinction between a claim and its evidence. Bring one example of a result that a screenshot alone cannot establish.</w:t>
      </w:r>
    </w:p>
    <w:p>
      <w:r>
        <w:t>If developer tools or a live demonstration are unavailable, read the source and the supplied C02_OFFLINE_TRACE.json. Mark that evidence as SUPPLIED TRACE or OBSERVED IN SOURCE. It does not establish that you executed the example. You can still state a prediction and the check you would run later.</w:t>
      </w:r>
    </w:p>
    <w:p>
      <w:pPr>
        <w:pStyle w:val="Heading1"/>
      </w:pPr>
      <w:r>
        <w:t>Transfer after Course 02</w:t>
      </w:r>
    </w:p>
    <w:p>
      <w:r>
        <w:t>Allow about 15 to 20 minutes independently. Choose one expense claim control. Describe its initial state, event and resulting state, separating HTML relationships, CSS constraints and JavaScript behaviour. Make a prediction for one canonical example, inspect its source and record the evidence limit. Reading a source line and executing a check are different evidence classes.</w:t>
      </w:r>
    </w:p>
    <w:p>
      <w:pPr>
        <w:pStyle w:val="Heading1"/>
      </w:pPr>
      <w:r>
        <w:t>How the earlier unit labels map</w:t>
      </w:r>
    </w:p>
    <w:p>
      <w:r>
        <w:t>U04 referred to the HTML, CSS and accessibility unit represented here by Week 02 Course 02 and Seminar 02. U02 referred to the JavaScript reading and modification unit that follows in Week 03. The labels describe topics from the earlier organisation. You do not need Node or Express reading to prepare for Course 02; follow the current week navigation for later materials. Week 03 is outside this package and this release scope.</w:t>
      </w:r>
    </w:p>
    <w:p>
      <w:pPr>
        <w:pStyle w:val="Heading1"/>
      </w:pPr>
      <w:r>
        <w:t>Optional AI prompt or offline equivalent</w:t>
      </w:r>
    </w:p>
    <w:p>
      <w:r>
        <w:t>“Explain this supplied fragment without inventing execution. For each claim, identify its source line, classify it as OBSERVED IN SOURCE, INFERRED or UNKNOWN, and propose one check that could falsify it.” Supply only the small public example or fictional text. Keep private code, personal data, tokens and institutional information out of an external service.</w:t>
      </w:r>
    </w:p>
    <w:p>
      <w:r>
        <w:t>Offline equivalent: use DELIBERATELY_FLAWED_LLM_RESPONSE_COURSE_02_v1.1_EN_GB.txt. Select one claim, identify the owning layer and propose the smallest counterexample. Write whether the evidence is supplied, read in source or actually executed. An AI explanation is a hypothesis to verify, not a result.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02 preparation and transfer</dc:title>
  <dc:subject/>
  <dc:creator>WebTech ASE</dc:creator>
  <cp:keywords/>
  <dc:description/>
  <cp:lastModifiedBy/>
  <cp:revision>1</cp:revision>
  <dcterms:created xsi:type="dcterms:W3CDTF">2013-12-23T23:15:00Z</dcterms:created>
  <dcterms:modified xsi:type="dcterms:W3CDTF">2013-12-23T23:15:00Z</dcterms:modified>
  <cp:category/>
</cp:coreProperties>
</file>