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C05 preparation and transfer</w:t>
      </w:r>
    </w:p>
    <w:p>
      <w:pPr>
        <w:widowControl/>
      </w:pPr>
      <w:r>
        <w:t>Week 05 · Node, Express and REST · Version 1.1.0</w:t>
      </w:r>
    </w:p>
    <w:p>
      <w:pPr>
        <w:pStyle w:val="Heading1"/>
      </w:pPr>
      <w:r>
        <w:t>Before the meeting: prepare reasoning, not a live installation</w:t>
      </w:r>
    </w:p>
    <w:p>
      <w:pPr>
        <w:widowControl/>
      </w:pPr>
      <w:r>
        <w:t>Open index.html from the extracted course package. Check that the title identifies C05 v1.1.0. Open the presentation and the laboratory. Both work directly from files and do not require Express. Set a comfortable text size in the presentation; 40–160% is available independently of browser zoom.</w:t>
      </w:r>
    </w:p>
    <w:p>
      <w:pPr>
        <w:widowControl/>
      </w:pPr>
      <w:r>
        <w:t>Read handout sections 1–3. Prepare one prediction for a creation request: method, path, request media type, response status, Location and body envelope. Separately predict which handler owns a static page and which owns an API path in canonical example 01. You are preparing a model, not collecting a retrospective answer.</w:t>
      </w:r>
    </w:p>
    <w:p>
      <w:pPr>
        <w:widowControl/>
      </w:pPr>
      <w:r>
        <w:t>Application execution has a different prerequisite. The five exact examples keep their package files and lockfiles. The optional guide explains how an already authorised, project-local environment is prepared in a work copy. Do not install dependencies during the live teaching hour, use a global Express installation or edit the lock. If a prerequisite is absent, record the block and continue with labelled source/model reasoning until execution is available.</w:t>
      </w:r>
    </w:p>
    <w:p>
      <w:pPr>
        <w:pStyle w:val="Heading2"/>
      </w:pPr>
      <w:r>
        <w:t>What to have ready</w:t>
      </w:r>
    </w:p>
    <w:p>
      <w:pPr>
        <w:widowControl/>
      </w:pPr>
      <w:r>
        <w:t>Keep the extracted folder, a plain-text note document and the course laboratory available. No account or secret is needed for the offline shell. Gemini access belongs to a later bounded review; the synthetic practice claim is available without pretending a real conversation occurred. Postman is an optional client, not a required account or a condition for full credit.</w:t>
      </w:r>
    </w:p>
    <w:p>
      <w:pPr>
        <w:pStyle w:val="Heading2"/>
      </w:pPr>
      <w:r>
        <w:t>Your first note</w:t>
      </w:r>
    </w:p>
    <w:p>
      <w:pPr>
        <w:widowControl/>
      </w:pPr>
      <w:r>
        <w:t>Write an input, a prediction and the observation that could disprove it. For example: would null reach field validation in the supplied P01 assembly? Name the distinction between valid JSON syntax and strict parser policy before examining the source. Preserve the first prediction when you revise your explanation.</w:t>
      </w:r>
    </w:p>
    <w:p>
      <w:pPr>
        <w:widowControl/>
      </w:pPr>
      <w:r>
        <w:t>The preparation is outside the core. Its purpose is to avoid turning a technical installation or a first encounter with the files into hidden content time.</w:t>
      </w:r>
    </w:p>
    <w:p>
      <w:r>
        <w:br w:type="page"/>
      </w:r>
    </w:p>
    <w:p>
      <w:pPr>
        <w:pStyle w:val="Heading1"/>
      </w:pPr>
      <w:r>
        <w:t>During the 60-minute meeting</w:t>
      </w:r>
    </w:p>
    <w:p>
      <w:pPr>
        <w:widowControl/>
      </w:pPr>
      <w:r>
        <w:t>The route below is the common timing source for the slides, guide and private console. It is a plan, not an observed classroom completion rate.</w:t>
      </w:r>
    </w:p>
    <w:tbl>
      <w:tblPr>
        <w:tblStyle w:val="LightShading-Accent1"/>
        <w:tblW w:type="auto" w:w="0"/>
        <w:tblLayout w:type="fixed"/>
        <w:tblLook w:firstColumn="1" w:firstRow="1" w:lastColumn="0" w:lastRow="0" w:noHBand="0" w:noVBand="1" w:val="04A0"/>
      </w:tblPr>
      <w:tblGrid>
        <w:gridCol w:w="3250"/>
        <w:gridCol w:w="3250"/>
        <w:gridCol w:w="3250"/>
      </w:tblGrid>
      <w:tr>
        <w:trPr>
          <w:tblHeader w:val="true"/>
          <w:cantSplit/>
        </w:trPr>
        <w:tc>
          <w:tcPr>
            <w:tcW w:type="dxa" w:w="3250"/>
          </w:tcPr>
          <w:p>
            <w:pPr>
              <w:spacing w:after="100" w:before="60" w:line="252" w:lineRule="auto"/>
            </w:pPr>
            <w:r>
              <w:rPr>
                <w:rFonts w:ascii="Arial" w:hAnsi="Arial"/>
                <w:sz w:val="18"/>
              </w:rPr>
              <w:t>Minutes</w:t>
            </w:r>
          </w:p>
        </w:tc>
        <w:tc>
          <w:tcPr>
            <w:tcW w:type="dxa" w:w="3250"/>
          </w:tcPr>
          <w:p>
            <w:pPr>
              <w:spacing w:after="100" w:before="60" w:line="252" w:lineRule="auto"/>
            </w:pPr>
            <w:r>
              <w:rPr>
                <w:rFonts w:ascii="Arial" w:hAnsi="Arial"/>
                <w:sz w:val="18"/>
              </w:rPr>
              <w:t>Focus</w:t>
            </w:r>
          </w:p>
        </w:tc>
        <w:tc>
          <w:tcPr>
            <w:tcW w:type="dxa" w:w="3250"/>
          </w:tcPr>
          <w:p>
            <w:pPr>
              <w:spacing w:after="100" w:before="60" w:line="252" w:lineRule="auto"/>
            </w:pPr>
            <w:r>
              <w:rPr>
                <w:rFonts w:ascii="Arial" w:hAnsi="Arial"/>
                <w:sz w:val="18"/>
              </w:rPr>
              <w:t>Retained evidence</w:t>
            </w:r>
          </w:p>
        </w:tc>
      </w:tr>
      <w:tr>
        <w:trPr>
          <w:cantSplit/>
        </w:trPr>
        <w:tc>
          <w:tcPr>
            <w:tcW w:type="dxa" w:w="3250"/>
          </w:tcPr>
          <w:p>
            <w:pPr>
              <w:spacing w:after="100" w:before="60" w:line="252" w:lineRule="auto"/>
            </w:pPr>
            <w:r>
              <w:rPr>
                <w:rFonts w:ascii="Arial" w:hAnsi="Arial"/>
                <w:sz w:val="18"/>
              </w:rPr>
              <w:t>00–05</w:t>
            </w:r>
          </w:p>
        </w:tc>
        <w:tc>
          <w:tcPr>
            <w:tcW w:type="dxa" w:w="3250"/>
          </w:tcPr>
          <w:p>
            <w:pPr>
              <w:spacing w:after="100" w:before="60" w:line="252" w:lineRule="auto"/>
            </w:pPr>
            <w:r>
              <w:rPr>
                <w:rFonts w:ascii="Arial" w:hAnsi="Arial"/>
                <w:sz w:val="18"/>
              </w:rPr>
              <w:t>Bridge from C04</w:t>
            </w:r>
          </w:p>
        </w:tc>
        <w:tc>
          <w:tcPr>
            <w:tcW w:type="dxa" w:w="3250"/>
          </w:tcPr>
          <w:p>
            <w:pPr>
              <w:spacing w:after="100" w:before="60" w:line="252" w:lineRule="auto"/>
            </w:pPr>
            <w:r>
              <w:rPr>
                <w:rFonts w:ascii="Arial" w:hAnsi="Arial"/>
                <w:sz w:val="18"/>
              </w:rPr>
              <w:t>A complete response prediction</w:t>
            </w:r>
          </w:p>
        </w:tc>
      </w:tr>
      <w:tr>
        <w:trPr>
          <w:cantSplit/>
        </w:trPr>
        <w:tc>
          <w:tcPr>
            <w:tcW w:type="dxa" w:w="3250"/>
          </w:tcPr>
          <w:p>
            <w:pPr>
              <w:spacing w:after="100" w:before="60" w:line="252" w:lineRule="auto"/>
            </w:pPr>
            <w:r>
              <w:rPr>
                <w:rFonts w:ascii="Arial" w:hAnsi="Arial"/>
                <w:sz w:val="18"/>
              </w:rPr>
              <w:t>05–12</w:t>
            </w:r>
          </w:p>
        </w:tc>
        <w:tc>
          <w:tcPr>
            <w:tcW w:type="dxa" w:w="3250"/>
          </w:tcPr>
          <w:p>
            <w:pPr>
              <w:spacing w:after="100" w:before="60" w:line="252" w:lineRule="auto"/>
            </w:pPr>
            <w:r>
              <w:rPr>
                <w:rFonts w:ascii="Arial" w:hAnsi="Arial"/>
                <w:sz w:val="18"/>
              </w:rPr>
              <w:t>Node and ordered dispatch</w:t>
            </w:r>
          </w:p>
        </w:tc>
        <w:tc>
          <w:tcPr>
            <w:tcW w:type="dxa" w:w="3250"/>
          </w:tcPr>
          <w:p>
            <w:pPr>
              <w:spacing w:after="100" w:before="60" w:line="252" w:lineRule="auto"/>
            </w:pPr>
            <w:r>
              <w:rPr>
                <w:rFonts w:ascii="Arial" w:hAnsi="Arial"/>
                <w:sz w:val="18"/>
              </w:rPr>
              <w:t>Construction versus listening</w:t>
            </w:r>
          </w:p>
        </w:tc>
      </w:tr>
      <w:tr>
        <w:trPr>
          <w:cantSplit/>
        </w:trPr>
        <w:tc>
          <w:tcPr>
            <w:tcW w:type="dxa" w:w="3250"/>
          </w:tcPr>
          <w:p>
            <w:pPr>
              <w:spacing w:after="100" w:before="60" w:line="252" w:lineRule="auto"/>
            </w:pPr>
            <w:r>
              <w:rPr>
                <w:rFonts w:ascii="Arial" w:hAnsi="Arial"/>
                <w:sz w:val="18"/>
              </w:rPr>
              <w:t>12–22</w:t>
            </w:r>
          </w:p>
        </w:tc>
        <w:tc>
          <w:tcPr>
            <w:tcW w:type="dxa" w:w="3250"/>
          </w:tcPr>
          <w:p>
            <w:pPr>
              <w:spacing w:after="100" w:before="60" w:line="252" w:lineRule="auto"/>
            </w:pPr>
            <w:r>
              <w:rPr>
                <w:rFonts w:ascii="Arial" w:hAnsi="Arial"/>
                <w:sz w:val="18"/>
              </w:rPr>
              <w:t>Resource contract</w:t>
            </w:r>
          </w:p>
        </w:tc>
        <w:tc>
          <w:tcPr>
            <w:tcW w:type="dxa" w:w="3250"/>
          </w:tcPr>
          <w:p>
            <w:pPr>
              <w:spacing w:after="100" w:before="60" w:line="252" w:lineRule="auto"/>
            </w:pPr>
            <w:r>
              <w:rPr>
                <w:rFonts w:ascii="Arial" w:hAnsi="Arial"/>
                <w:sz w:val="18"/>
              </w:rPr>
              <w:t>Method, status, headers and content</w:t>
            </w:r>
          </w:p>
        </w:tc>
      </w:tr>
      <w:tr>
        <w:trPr>
          <w:cantSplit/>
        </w:trPr>
        <w:tc>
          <w:tcPr>
            <w:tcW w:type="dxa" w:w="3250"/>
          </w:tcPr>
          <w:p>
            <w:pPr>
              <w:spacing w:after="100" w:before="60" w:line="252" w:lineRule="auto"/>
            </w:pPr>
            <w:r>
              <w:rPr>
                <w:rFonts w:ascii="Arial" w:hAnsi="Arial"/>
                <w:sz w:val="18"/>
              </w:rPr>
              <w:t>22–32</w:t>
            </w:r>
          </w:p>
        </w:tc>
        <w:tc>
          <w:tcPr>
            <w:tcW w:type="dxa" w:w="3250"/>
          </w:tcPr>
          <w:p>
            <w:pPr>
              <w:spacing w:after="100" w:before="60" w:line="252" w:lineRule="auto"/>
            </w:pPr>
            <w:r>
              <w:rPr>
                <w:rFonts w:ascii="Arial" w:hAnsi="Arial"/>
                <w:sz w:val="18"/>
              </w:rPr>
              <w:t>Parser, validation and errors</w:t>
            </w:r>
          </w:p>
        </w:tc>
        <w:tc>
          <w:tcPr>
            <w:tcW w:type="dxa" w:w="3250"/>
          </w:tcPr>
          <w:p>
            <w:pPr>
              <w:spacing w:after="100" w:before="60" w:line="252" w:lineRule="auto"/>
            </w:pPr>
            <w:r>
              <w:rPr>
                <w:rFonts w:ascii="Arial" w:hAnsi="Arial"/>
                <w:sz w:val="18"/>
              </w:rPr>
              <w:t>The first rejecting boundary</w:t>
            </w:r>
          </w:p>
        </w:tc>
      </w:tr>
      <w:tr>
        <w:trPr>
          <w:cantSplit/>
        </w:trPr>
        <w:tc>
          <w:tcPr>
            <w:tcW w:type="dxa" w:w="3250"/>
          </w:tcPr>
          <w:p>
            <w:pPr>
              <w:spacing w:after="100" w:before="60" w:line="252" w:lineRule="auto"/>
            </w:pPr>
            <w:r>
              <w:rPr>
                <w:rFonts w:ascii="Arial" w:hAnsi="Arial"/>
                <w:sz w:val="18"/>
              </w:rPr>
              <w:t>32–47</w:t>
            </w:r>
          </w:p>
        </w:tc>
        <w:tc>
          <w:tcPr>
            <w:tcW w:type="dxa" w:w="3250"/>
          </w:tcPr>
          <w:p>
            <w:pPr>
              <w:spacing w:after="100" w:before="60" w:line="252" w:lineRule="auto"/>
            </w:pPr>
            <w:r>
              <w:rPr>
                <w:rFonts w:ascii="Arial" w:hAnsi="Arial"/>
                <w:sz w:val="18"/>
              </w:rPr>
              <w:t>Guided P02 observation</w:t>
            </w:r>
          </w:p>
        </w:tc>
        <w:tc>
          <w:tcPr>
            <w:tcW w:type="dxa" w:w="3250"/>
          </w:tcPr>
          <w:p>
            <w:pPr>
              <w:spacing w:after="100" w:before="60" w:line="252" w:lineRule="auto"/>
            </w:pPr>
            <w:r>
              <w:rPr>
                <w:rFonts w:ascii="Arial" w:hAnsi="Arial"/>
                <w:sz w:val="18"/>
              </w:rPr>
              <w:t>Identity, commitment duration and terminal log</w:t>
            </w:r>
          </w:p>
        </w:tc>
      </w:tr>
      <w:tr>
        <w:trPr>
          <w:cantSplit/>
        </w:trPr>
        <w:tc>
          <w:tcPr>
            <w:tcW w:type="dxa" w:w="3250"/>
          </w:tcPr>
          <w:p>
            <w:pPr>
              <w:spacing w:after="100" w:before="60" w:line="252" w:lineRule="auto"/>
            </w:pPr>
            <w:r>
              <w:rPr>
                <w:rFonts w:ascii="Arial" w:hAnsi="Arial"/>
                <w:sz w:val="18"/>
              </w:rPr>
              <w:t>47–55</w:t>
            </w:r>
          </w:p>
        </w:tc>
        <w:tc>
          <w:tcPr>
            <w:tcW w:type="dxa" w:w="3250"/>
          </w:tcPr>
          <w:p>
            <w:pPr>
              <w:spacing w:after="100" w:before="60" w:line="252" w:lineRule="auto"/>
            </w:pPr>
            <w:r>
              <w:rPr>
                <w:rFonts w:ascii="Arial" w:hAnsi="Arial"/>
                <w:sz w:val="18"/>
              </w:rPr>
              <w:t>Evidence classes</w:t>
            </w:r>
          </w:p>
        </w:tc>
        <w:tc>
          <w:tcPr>
            <w:tcW w:type="dxa" w:w="3250"/>
          </w:tcPr>
          <w:p>
            <w:pPr>
              <w:spacing w:after="100" w:before="60" w:line="252" w:lineRule="auto"/>
            </w:pPr>
            <w:r>
              <w:rPr>
                <w:rFonts w:ascii="Arial" w:hAnsi="Arial"/>
                <w:sz w:val="18"/>
              </w:rPr>
              <w:t>Model result versus actual HTTP</w:t>
            </w:r>
          </w:p>
        </w:tc>
      </w:tr>
      <w:tr>
        <w:trPr>
          <w:cantSplit/>
        </w:trPr>
        <w:tc>
          <w:tcPr>
            <w:tcW w:type="dxa" w:w="3250"/>
          </w:tcPr>
          <w:p>
            <w:pPr>
              <w:spacing w:after="100" w:before="60" w:line="252" w:lineRule="auto"/>
            </w:pPr>
            <w:r>
              <w:rPr>
                <w:rFonts w:ascii="Arial" w:hAnsi="Arial"/>
                <w:sz w:val="18"/>
              </w:rPr>
              <w:t>55–58</w:t>
            </w:r>
          </w:p>
        </w:tc>
        <w:tc>
          <w:tcPr>
            <w:tcW w:type="dxa" w:w="3250"/>
          </w:tcPr>
          <w:p>
            <w:pPr>
              <w:spacing w:after="100" w:before="60" w:line="252" w:lineRule="auto"/>
            </w:pPr>
            <w:r>
              <w:rPr>
                <w:rFonts w:ascii="Arial" w:hAnsi="Arial"/>
                <w:sz w:val="18"/>
              </w:rPr>
              <w:t>Bounded generated claim</w:t>
            </w:r>
          </w:p>
        </w:tc>
        <w:tc>
          <w:tcPr>
            <w:tcW w:type="dxa" w:w="3250"/>
          </w:tcPr>
          <w:p>
            <w:pPr>
              <w:spacing w:after="100" w:before="60" w:line="252" w:lineRule="auto"/>
            </w:pPr>
            <w:r>
              <w:rPr>
                <w:rFonts w:ascii="Arial" w:hAnsi="Arial"/>
                <w:sz w:val="18"/>
              </w:rPr>
              <w:t>Independent correction and limit</w:t>
            </w:r>
          </w:p>
        </w:tc>
      </w:tr>
      <w:tr>
        <w:trPr>
          <w:cantSplit/>
        </w:trPr>
        <w:tc>
          <w:tcPr>
            <w:tcW w:type="dxa" w:w="3250"/>
          </w:tcPr>
          <w:p>
            <w:pPr>
              <w:spacing w:after="100" w:before="60" w:line="252" w:lineRule="auto"/>
            </w:pPr>
            <w:r>
              <w:rPr>
                <w:rFonts w:ascii="Arial" w:hAnsi="Arial"/>
                <w:sz w:val="18"/>
              </w:rPr>
              <w:t>58–60</w:t>
            </w:r>
          </w:p>
        </w:tc>
        <w:tc>
          <w:tcPr>
            <w:tcW w:type="dxa" w:w="3250"/>
          </w:tcPr>
          <w:p>
            <w:pPr>
              <w:spacing w:after="100" w:before="60" w:line="252" w:lineRule="auto"/>
            </w:pPr>
            <w:r>
              <w:rPr>
                <w:rFonts w:ascii="Arial" w:hAnsi="Arial"/>
                <w:sz w:val="18"/>
              </w:rPr>
              <w:t>Synthesis</w:t>
            </w:r>
          </w:p>
        </w:tc>
        <w:tc>
          <w:tcPr>
            <w:tcW w:type="dxa" w:w="3250"/>
          </w:tcPr>
          <w:p>
            <w:pPr>
              <w:spacing w:after="100" w:before="60" w:line="252" w:lineRule="auto"/>
            </w:pPr>
            <w:r>
              <w:rPr>
                <w:rFonts w:ascii="Arial" w:hAnsi="Arial"/>
                <w:sz w:val="18"/>
              </w:rPr>
              <w:t>One owner, one witness and one untested property</w:t>
            </w:r>
          </w:p>
        </w:tc>
      </w:tr>
    </w:tbl>
    <w:p>
      <w:pPr>
        <w:spacing w:after="40"/>
      </w:pPr>
    </w:p>
    <w:p>
      <w:pPr>
        <w:widowControl/>
      </w:pPr>
      <w:r>
        <w:t>Use lab.html for the declared local mechanism model and guided.html for the recorded module observations. The latter records were produced by a private driver calling the exact P02 module with doubles. Reading them is not a new execution by you; a locally rerun teaching calculation is not that reference module either.</w:t>
      </w:r>
    </w:p>
    <w:p>
      <w:pPr>
        <w:widowControl/>
      </w:pPr>
      <w:r>
        <w:t>The presentation’s arrows work outside editable controls. Use Tab to reach controls, Enter or Space to activate buttons and the screen selector for direct access. In reading mode all screens remain visible. Print includes explanatory reveals for revision, not a new assessment key. Browser-specific interaction and printing still require their later native acceptance.</w:t>
      </w:r>
    </w:p>
    <w:p>
      <w:pPr>
        <w:widowControl/>
      </w:pPr>
      <w:r>
        <w:t>Stop at minute 60. Record any uncertainty and the next smallest check. A dependency block, unavailable live HTTP or pending Gemini interaction remains visible; none becomes a fabricated PASS to make the session look complete.</w:t>
      </w:r>
    </w:p>
    <w:p>
      <w:r>
        <w:br w:type="page"/>
      </w:r>
    </w:p>
    <w:p>
      <w:pPr>
        <w:pStyle w:val="Heading1"/>
      </w:pPr>
      <w:r>
        <w:t>After the course: one required project, not three</w:t>
      </w:r>
    </w:p>
    <w:p>
      <w:pPr>
        <w:widowControl/>
      </w:pPr>
      <w:r>
        <w:t>Complete the required guided observation note: your prediction, the selected G-record, the observed identity/timing/log count and a limitation. Retrieve it during S05. The full P02 Middleware Pipeline implementation is optional; its guided observation is not optional. P03 API Contract Repair is optional reinforcement.</w:t>
      </w:r>
    </w:p>
    <w:p>
      <w:pPr>
        <w:widowControl/>
      </w:pPr>
      <w:r>
        <w:t>S05 supplies the In-memory Task API. Its one-file target remains projects/p01/src/task-router.js. Preserve the rest of the project. Follow the created resource’s returned ID or Location instead of assuming an identifier from a previous run. Pair a valid operation with a rejection and inspect the later service state.</w:t>
      </w:r>
    </w:p>
    <w:p>
      <w:pPr>
        <w:widowControl/>
      </w:pPr>
      <w:r>
        <w:t>The canonical P01 estimate is 55–65 minutes, so the seminar does not promise that every student completes the whole implementation and evidence within its live hour. Finish outstanding work on the same P01 contract before the later final deadline. There is no added second-project portfolio and no separate C05 Moodle Assignment.</w:t>
      </w:r>
    </w:p>
    <w:p>
      <w:pPr>
        <w:pStyle w:val="Heading2"/>
      </w:pPr>
      <w:r>
        <w:t>Independent review</w:t>
      </w:r>
    </w:p>
    <w:p>
      <w:pPr>
        <w:widowControl/>
      </w:pPr>
      <w:r>
        <w:t>Ask Gemini to review one sanitised statement or bounded change. Do not request a complete solution, upload private datasets or include credentials. Keep only the relevant prompt, one claim, independent verification, ACCEPTED / REJECTED / PARTIALLY ACCEPTED / UNKNOWN, correction and limit. When connectivity is absent, retain PENDING for the genuine interaction. Supplied practice is not a substitute transcript.</w:t>
      </w:r>
    </w:p>
    <w:p>
      <w:pPr>
        <w:pStyle w:val="Heading2"/>
      </w:pPr>
      <w:r>
        <w:t>Optional depth</w:t>
      </w:r>
    </w:p>
    <w:p>
      <w:pPr>
        <w:widowControl/>
      </w:pPr>
      <w:r>
        <w:t>Revisit the examples in order, keeping their distinct limits visible: observation, method/path selection, a minimal resource contract, a body boundary and an error boundary. Full P02 implementation and optional P03 transport repair remain outside the standard required mark. U06 introduces persistence later; database installation is not part of this course.</w:t>
      </w:r>
    </w:p>
    <w:p>
      <w:pPr>
        <w:widowControl/>
      </w:pPr>
      <w:r>
        <w:t>The final individual S05 document will be TW2026_S05_GROUP_Surname_GivenName.pdf and will include P01 and the guided observation. Use the actual S05 form when delivered; this preparation sheet is not its replacement. Dates and live Moodle settings are configured separately by the teacher.</w:t>
      </w:r>
    </w:p>
    <w:sectPr w:rsidR="00FC693F" w:rsidRPr="0006063C" w:rsidSect="00034616">
      <w:headerReference w:type="default" r:id="rId9"/>
      <w:footerReference w:type="default" r:id="rId10"/>
      <w:pgSz w:w="11909" w:h="16834"/>
      <w:pgMar w:top="1037"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26775"/>
        <w:sz w:val="16"/>
      </w:rPr>
      <w:t>WEB TECHNOLOGIES 2026  |  C05  |  v1.1.0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15384A"/>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15384A"/>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b/>
      <w:bCs/>
      <w:color w:val="1538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Arial" w:hAnsi="Arial"/>
      <w:color w:val="1538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1"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C05_PREPARATION_TRANSFER</dc:title>
  <dc:subject>C05 local teaching candidate</dc:subject>
  <dc:creator>Web Technologies teaching team</dc:creator>
  <cp:keywords/>
  <dc:description/>
  <cp:lastModifiedBy/>
  <cp:revision>1</cp:revision>
  <dcterms:created xsi:type="dcterms:W3CDTF">2013-12-23T23:15:00Z</dcterms:created>
  <dcterms:modified xsi:type="dcterms:W3CDTF">2013-12-23T23:15:00Z</dcterms:modified>
  <cp:category/>
  <dc:language>en-GB</dc:language>
</cp:coreProperties>
</file>