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C06 — Preparation and Transfer</w:t>
      </w:r>
    </w:p>
    <w:p>
      <w:pPr>
        <w:pStyle w:val="Heading1"/>
      </w:pPr>
      <w:r>
        <w:t>1. Before the meeting</w:t>
      </w:r>
    </w:p>
    <w:p>
      <w:r>
        <w:t>The course follows the Week 05 in-memory API. Prepare to distinguish a response contract from the storage policy that supports it. You do not need to build a frontend, install a separate database server or implement P01 before this course. The core seminar project will be P02 Query API. P01 is a capstone-integration route and P03 is optional reinforcement.</w:t>
      </w:r>
    </w:p>
    <w:p>
      <w:r>
        <w:t xml:space="preserve">Open </w:t>
      </w:r>
      <w:r>
        <w:rPr>
          <w:rFonts w:ascii="Liberation Mono" w:hAnsi="Liberation Mono"/>
          <w:sz w:val="18"/>
        </w:rPr>
        <w:t>index.html</w:t>
      </w:r>
      <w:r>
        <w:t xml:space="preserve"> from the extracted public package. The presentation is </w:t>
      </w:r>
      <w:r>
        <w:rPr>
          <w:rFonts w:ascii="Liberation Mono" w:hAnsi="Liberation Mono"/>
          <w:sz w:val="18"/>
        </w:rPr>
        <w:t>course.html</w:t>
      </w:r>
      <w:r>
        <w:t xml:space="preserve">, the model laboratory is </w:t>
      </w:r>
      <w:r>
        <w:rPr>
          <w:rFonts w:ascii="Liberation Mono" w:hAnsi="Liberation Mono"/>
          <w:sz w:val="18"/>
        </w:rPr>
        <w:t>lab.html</w:t>
      </w:r>
      <w:r>
        <w:t xml:space="preserve"> and the handout is </w:t>
      </w:r>
      <w:r>
        <w:rPr>
          <w:rFonts w:ascii="Liberation Mono" w:hAnsi="Liberation Mono"/>
          <w:sz w:val="18"/>
        </w:rPr>
        <w:t>documents/C06_HANDOUT.docx</w:t>
      </w:r>
      <w:r>
        <w:t>. Keep the extracted directory intact. The standalone presentation is sufficient for its slides, but the rest of the package is needed for the laboratory, documents and exact canonical source examples.</w:t>
      </w:r>
    </w:p>
    <w:p>
      <w:r>
        <w:t xml:space="preserve">Write a one-sentence prediction for each question. Does a second successful read on one connection establish file persistence? Does </w:t>
      </w:r>
      <w:r>
        <w:rPr>
          <w:rFonts w:ascii="Liberation Mono" w:hAnsi="Liberation Mono"/>
          <w:sz w:val="18"/>
        </w:rPr>
        <w:t>notEmpty</w:t>
      </w:r>
      <w:r>
        <w:t xml:space="preserve"> in model metadata prove a SQL CHECK exists? Will </w:t>
      </w:r>
      <w:r>
        <w:rPr>
          <w:rFonts w:ascii="Liberation Mono" w:hAnsi="Liberation Mono"/>
          <w:sz w:val="18"/>
        </w:rPr>
        <w:t>if (body.archived)</w:t>
      </w:r>
      <w:r>
        <w:t xml:space="preserve"> preserve an explicit false? Can a correct options object establish which rows SQLite returned? Do not replace your predictions after the explanation; add the result and the reason for any change.</w:t>
      </w:r>
    </w:p>
    <w:p>
      <w:r>
        <w:t>Read handout sections 1–3 before attempting a lifecycle run. The genuine run route needs local Sequelize/sqlite3 dependencies and the specified runtime prepared separately. This delivery does not install them. A missing dependency or native-load failure is a prerequisite block, not an expected student assertion. Use the model route for limited conceptual work and keep the real observation pending.</w:t>
      </w:r>
    </w:p>
    <w:p>
      <w:r>
        <w:t xml:space="preserve">The exact example READMEs retain historical commands. The top-level </w:t>
      </w:r>
      <w:r>
        <w:rPr>
          <w:rFonts w:ascii="Liberation Mono" w:hAnsi="Liberation Mono"/>
          <w:sz w:val="18"/>
        </w:rPr>
        <w:t>RUN_EXAMPLES.md</w:t>
      </w:r>
      <w:r>
        <w:t xml:space="preserve"> is the current operational route for this package. It has explicit paths, preflight commands, bounded run commands and stop conditions. Do not use an unrelated database file or change lockfiles to make an error disappear.</w:t>
      </w:r>
    </w:p>
    <w:p>
      <w:r>
        <w:rPr>
          <w:b/>
        </w:rPr>
        <w:t>Bring forward from C05:</w:t>
      </w:r>
      <w:r>
        <w:t xml:space="preserve"> one example of a layer owning a decision and one example of evidence that is too weak for a stronger claim. No personal data is needed.</w:t>
      </w:r>
    </w:p>
    <w:p>
      <w:r>
        <w:br w:type="page"/>
      </w:r>
    </w:p>
    <w:p>
      <w:pPr>
        <w:pStyle w:val="Heading1"/>
      </w:pPr>
      <w:r>
        <w:t>2. The 60-minute course route</w:t>
      </w:r>
    </w:p>
    <w:tbl>
      <w:tblPr>
        <w:tblStyle w:val="TableGrid"/>
        <w:tblW w:type="auto" w:w="0"/>
        <w:tblLook w:firstColumn="1" w:firstRow="1" w:lastColumn="0" w:lastRow="0" w:noHBand="0" w:noVBand="1" w:val="04A0"/>
      </w:tblPr>
      <w:tblGrid>
        <w:gridCol w:w="3269"/>
        <w:gridCol w:w="3269"/>
        <w:gridCol w:w="3269"/>
      </w:tblGrid>
      <w:tr>
        <w:trPr>
          <w:tblHeader/>
        </w:trPr>
        <w:tc>
          <w:tcPr>
            <w:tcW w:type="dxa" w:w="3269"/>
          </w:tcPr>
          <w:p>
            <w:r>
              <w:rPr>
                <w:b/>
                <w:sz w:val="18"/>
              </w:rPr>
              <w:t>Interval</w:t>
            </w:r>
          </w:p>
        </w:tc>
        <w:tc>
          <w:tcPr>
            <w:tcW w:type="dxa" w:w="3269"/>
          </w:tcPr>
          <w:p>
            <w:r>
              <w:rPr>
                <w:b/>
                <w:sz w:val="18"/>
              </w:rPr>
              <w:t>Core work</w:t>
            </w:r>
          </w:p>
        </w:tc>
        <w:tc>
          <w:tcPr>
            <w:tcW w:type="dxa" w:w="3269"/>
          </w:tcPr>
          <w:p>
            <w:r>
              <w:rPr>
                <w:b/>
                <w:sz w:val="18"/>
              </w:rPr>
              <w:t>Record before moving on</w:t>
            </w:r>
          </w:p>
        </w:tc>
      </w:tr>
      <w:tr>
        <w:tc>
          <w:tcPr>
            <w:tcW w:type="dxa" w:w="3269"/>
          </w:tcPr>
          <w:p>
            <w:r>
              <w:rPr>
                <w:b w:val="0"/>
                <w:sz w:val="18"/>
              </w:rPr>
              <w:t>00–06</w:t>
            </w:r>
          </w:p>
        </w:tc>
        <w:tc>
          <w:tcPr>
            <w:tcW w:type="dxa" w:w="3269"/>
          </w:tcPr>
          <w:p>
            <w:r>
              <w:rPr>
                <w:b w:val="0"/>
                <w:sz w:val="18"/>
              </w:rPr>
              <w:t>Compare process-local and file-persistence claims</w:t>
            </w:r>
          </w:p>
        </w:tc>
        <w:tc>
          <w:tcPr>
            <w:tcW w:type="dxa" w:w="3269"/>
          </w:tcPr>
          <w:p>
            <w:r>
              <w:rPr>
                <w:b w:val="0"/>
                <w:sz w:val="18"/>
              </w:rPr>
              <w:t>The actual boundary crossed</w:t>
            </w:r>
          </w:p>
        </w:tc>
      </w:tr>
      <w:tr>
        <w:tc>
          <w:tcPr>
            <w:tcW w:type="dxa" w:w="3269"/>
          </w:tcPr>
          <w:p>
            <w:r>
              <w:rPr>
                <w:b w:val="0"/>
                <w:sz w:val="18"/>
              </w:rPr>
              <w:t>06–16</w:t>
            </w:r>
          </w:p>
        </w:tc>
        <w:tc>
          <w:tcPr>
            <w:tcW w:type="dxa" w:w="3269"/>
          </w:tcPr>
          <w:p>
            <w:r>
              <w:rPr>
                <w:b w:val="0"/>
                <w:sz w:val="18"/>
              </w:rPr>
              <w:t>Model metadata and database constraints</w:t>
            </w:r>
          </w:p>
        </w:tc>
        <w:tc>
          <w:tcPr>
            <w:tcW w:type="dxa" w:w="3269"/>
          </w:tcPr>
          <w:p>
            <w:r>
              <w:rPr>
                <w:b w:val="0"/>
                <w:sz w:val="18"/>
              </w:rPr>
              <w:t>Declaration versus schema/write observation</w:t>
            </w:r>
          </w:p>
        </w:tc>
      </w:tr>
      <w:tr>
        <w:tc>
          <w:tcPr>
            <w:tcW w:type="dxa" w:w="3269"/>
          </w:tcPr>
          <w:p>
            <w:r>
              <w:rPr>
                <w:b w:val="0"/>
                <w:sz w:val="18"/>
              </w:rPr>
              <w:t>16–26</w:t>
            </w:r>
          </w:p>
        </w:tc>
        <w:tc>
          <w:tcPr>
            <w:tcW w:type="dxa" w:w="3269"/>
          </w:tcPr>
          <w:p>
            <w:r>
              <w:rPr>
                <w:b w:val="0"/>
                <w:sz w:val="18"/>
              </w:rPr>
              <w:t>File reopen, reset and cleanup</w:t>
            </w:r>
          </w:p>
        </w:tc>
        <w:tc>
          <w:tcPr>
            <w:tcW w:type="dxa" w:w="3269"/>
          </w:tcPr>
          <w:p>
            <w:r>
              <w:rPr>
                <w:b w:val="0"/>
                <w:sz w:val="18"/>
              </w:rPr>
              <w:t>Same file, same process and explicit reset choice</w:t>
            </w:r>
          </w:p>
        </w:tc>
      </w:tr>
      <w:tr>
        <w:tc>
          <w:tcPr>
            <w:tcW w:type="dxa" w:w="3269"/>
          </w:tcPr>
          <w:p>
            <w:r>
              <w:rPr>
                <w:b w:val="0"/>
                <w:sz w:val="18"/>
              </w:rPr>
              <w:t>26–35</w:t>
            </w:r>
          </w:p>
        </w:tc>
        <w:tc>
          <w:tcPr>
            <w:tcW w:type="dxa" w:w="3269"/>
          </w:tcPr>
          <w:p>
            <w:r>
              <w:rPr>
                <w:b w:val="0"/>
                <w:sz w:val="18"/>
              </w:rPr>
              <w:t>Awaited CRUD and public values</w:t>
            </w:r>
          </w:p>
        </w:tc>
        <w:tc>
          <w:tcPr>
            <w:tcW w:type="dxa" w:w="3269"/>
          </w:tcPr>
          <w:p>
            <w:r>
              <w:rPr>
                <w:b w:val="0"/>
                <w:sz w:val="18"/>
              </w:rPr>
              <w:t>Completion point and allowed response fields</w:t>
            </w:r>
          </w:p>
        </w:tc>
      </w:tr>
      <w:tr>
        <w:tc>
          <w:tcPr>
            <w:tcW w:type="dxa" w:w="3269"/>
          </w:tcPr>
          <w:p>
            <w:r>
              <w:rPr>
                <w:b w:val="0"/>
                <w:sz w:val="18"/>
              </w:rPr>
              <w:t>35–49</w:t>
            </w:r>
          </w:p>
        </w:tc>
        <w:tc>
          <w:tcPr>
            <w:tcW w:type="dxa" w:w="3269"/>
          </w:tcPr>
          <w:p>
            <w:r>
              <w:rPr>
                <w:b w:val="0"/>
                <w:sz w:val="18"/>
              </w:rPr>
              <w:t>Closed query language and result order</w:t>
            </w:r>
          </w:p>
        </w:tc>
        <w:tc>
          <w:tcPr>
            <w:tcW w:type="dxa" w:w="3269"/>
          </w:tcPr>
          <w:p>
            <w:r>
              <w:rPr>
                <w:b w:val="0"/>
                <w:sz w:val="18"/>
              </w:rPr>
              <w:t>Filter, tie-breaker and projection prediction</w:t>
            </w:r>
          </w:p>
        </w:tc>
      </w:tr>
      <w:tr>
        <w:tc>
          <w:tcPr>
            <w:tcW w:type="dxa" w:w="3269"/>
          </w:tcPr>
          <w:p>
            <w:r>
              <w:rPr>
                <w:b w:val="0"/>
                <w:sz w:val="18"/>
              </w:rPr>
              <w:t>49–55</w:t>
            </w:r>
          </w:p>
        </w:tc>
        <w:tc>
          <w:tcPr>
            <w:tcW w:type="dxa" w:w="3269"/>
          </w:tcPr>
          <w:p>
            <w:r>
              <w:rPr>
                <w:b w:val="0"/>
                <w:sz w:val="18"/>
              </w:rPr>
              <w:t>Model, database and HTTP evidence</w:t>
            </w:r>
          </w:p>
        </w:tc>
        <w:tc>
          <w:tcPr>
            <w:tcW w:type="dxa" w:w="3269"/>
          </w:tcPr>
          <w:p>
            <w:r>
              <w:rPr>
                <w:b w:val="0"/>
                <w:sz w:val="18"/>
              </w:rPr>
              <w:t>One supported claim and one missing layer</w:t>
            </w:r>
          </w:p>
        </w:tc>
      </w:tr>
      <w:tr>
        <w:tc>
          <w:tcPr>
            <w:tcW w:type="dxa" w:w="3269"/>
          </w:tcPr>
          <w:p>
            <w:r>
              <w:rPr>
                <w:b w:val="0"/>
                <w:sz w:val="18"/>
              </w:rPr>
              <w:t>55–58</w:t>
            </w:r>
          </w:p>
        </w:tc>
        <w:tc>
          <w:tcPr>
            <w:tcW w:type="dxa" w:w="3269"/>
          </w:tcPr>
          <w:p>
            <w:r>
              <w:rPr>
                <w:b w:val="0"/>
                <w:sz w:val="18"/>
              </w:rPr>
              <w:t>Independent review of one claim</w:t>
            </w:r>
          </w:p>
        </w:tc>
        <w:tc>
          <w:tcPr>
            <w:tcW w:type="dxa" w:w="3269"/>
          </w:tcPr>
          <w:p>
            <w:r>
              <w:rPr>
                <w:b w:val="0"/>
                <w:sz w:val="18"/>
              </w:rPr>
              <w:t>Verdict, correction and limit</w:t>
            </w:r>
          </w:p>
        </w:tc>
      </w:tr>
      <w:tr>
        <w:tc>
          <w:tcPr>
            <w:tcW w:type="dxa" w:w="3269"/>
          </w:tcPr>
          <w:p>
            <w:r>
              <w:rPr>
                <w:b w:val="0"/>
                <w:sz w:val="18"/>
              </w:rPr>
              <w:t>58–60</w:t>
            </w:r>
          </w:p>
        </w:tc>
        <w:tc>
          <w:tcPr>
            <w:tcW w:type="dxa" w:w="3269"/>
          </w:tcPr>
          <w:p>
            <w:r>
              <w:rPr>
                <w:b w:val="0"/>
                <w:sz w:val="18"/>
              </w:rPr>
              <w:t>Synthesis and seminar hand-off</w:t>
            </w:r>
          </w:p>
        </w:tc>
        <w:tc>
          <w:tcPr>
            <w:tcW w:type="dxa" w:w="3269"/>
          </w:tcPr>
          <w:p>
            <w:r>
              <w:rPr>
                <w:b w:val="0"/>
                <w:sz w:val="18"/>
              </w:rPr>
              <w:t>Next smallest check; STOP AT 60</w:t>
            </w:r>
          </w:p>
        </w:tc>
      </w:tr>
    </w:tbl>
    <w:p/>
    <w:p>
      <w:r>
        <w:t>This map is shared by the presentation, teacher guide and console. It is a design, not a measured classroom duration. The other 30 minutes of the booking are not an overflow allowance. Optional source details can be studied after the meeting.</w:t>
      </w:r>
    </w:p>
    <w:p>
      <w:r>
        <w:t>In the laboratory, record a prediction before each model run. Export your notes as JSON for a portable save. Imported notes are explicitly unverified: importing them does not rerun the experiment. The print button asks the browser to print; it cannot certify that you saved a PDF. C06 notes are not a separate Moodle submission.</w:t>
      </w:r>
    </w:p>
    <w:p>
      <w:r>
        <w:t>When the instructor uses the lifecycle source, identify what is being shown: source reading, model projection or genuine ORM/SQLite execution. The canonical message says restart although the code reopens a connection in one process. Use the accurate label even when quoting the original message.</w:t>
      </w:r>
    </w:p>
    <w:p>
      <w:r>
        <w:t>At minute 60, write one mechanism, one witness and one untested property. An honest pending item is not a failure of the lesson. It preserves the boundary between a planned experiment and an observed result.</w:t>
      </w:r>
    </w:p>
    <w:p>
      <w:r>
        <w:br w:type="page"/>
      </w:r>
    </w:p>
    <w:p>
      <w:pPr>
        <w:pStyle w:val="Heading1"/>
      </w:pPr>
      <w:r>
        <w:t>3. After the meeting and before S06</w:t>
      </w:r>
    </w:p>
    <w:p>
      <w:r>
        <w:t xml:space="preserve">The required implementation in S06 is </w:t>
      </w:r>
      <w:r>
        <w:rPr>
          <w:rFonts w:ascii="Liberation Mono" w:hAnsi="Liberation Mono"/>
          <w:sz w:val="18"/>
        </w:rPr>
        <w:t>projects/p02/src/note-query.js</w:t>
      </w:r>
      <w:r>
        <w:t>. Prepare by reading the supplied model and complete parameter contract once the S06 package is delivered. Do not rename P02 to P01 or replace its memory fixture with a disk database. Its controlled seed is designed for manual prediction of filtering, ordering and projection.</w:t>
      </w:r>
    </w:p>
    <w:p>
      <w:r>
        <w:t>The short lifecycle observation uses the separate course file example or its guarded helper. It is required evidence of the distinction between file and memory storage, not a full Persistent Notes API implementation. It can be completed after the seminar before the final deadline. Record whether reset was requested and whether the observation crossed a connection or a process boundary. The supplied helper uses one process with separate connections.</w:t>
      </w:r>
    </w:p>
    <w:p>
      <w:r>
        <w:t>A final S06 submission will combine P02, the small lifecycle observation and the bounded Gemini review in one PDF. Missing actual database/HTTP evidence or unavailable Gemini can remain pending in a draft. A separate teacher decision, where permitted, must be recorded explicitly; no check box grants an exemption. This course package does not configure Moodle or choose dates.</w:t>
      </w:r>
    </w:p>
    <w:p>
      <w:r>
        <w:t>For deeper study, compare the canonical raw-query report with P02's different constraints. The report uses fixed SQL and named replacements; P02 requires Sequelize options and prohibits post-query in-memory filtering, sorting and projection. Think about how a field allowlist prevents arbitrary columns from becoming part of the public language.</w:t>
      </w:r>
    </w:p>
    <w:p>
      <w:r>
        <w:t>Before Week 07, use the preserved source reading list on relationships and transactions. The current week does not require associations, pagination, migrations, authentication, deployment or a frontend framework. Do not expand the assessed edit surface to implement those features.</w:t>
      </w:r>
    </w:p>
    <w:p>
      <w:r>
        <w:rPr>
          <w:b/>
        </w:rPr>
        <w:t>Exit reflection:</w:t>
      </w:r>
      <w:r>
        <w:t xml:space="preserve"> identify one claim you initially accepted too quickly. State the evidence that changed your judgement and one additional real test that would strengthen it. Keep source reasoning, model output and genuine database observations separate.</w:t>
      </w:r>
    </w:p>
    <w:sectPr w:rsidR="00FC693F" w:rsidRPr="0006063C" w:rsidSect="00034616">
      <w:headerReference w:type="default" r:id="rId9"/>
      <w:footerReference w:type="default" r:id="rId10"/>
      <w:pgSz w:w="11909" w:h="16834"/>
      <w:pgMar w:top="950" w:right="1051" w:bottom="950" w:left="10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C06 v1.1.0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sz w:val="16"/>
      </w:rPr>
      <w:t>WEB TECHNOLOGIES 2026  |  C06  |  EN-GB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Liberation Sans" w:hAnsi="Liberation Sans"/>
      <w:b/>
      <w:bCs/>
      <w:color w:val="17384A"/>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Liberation Sans" w:hAnsi="Liberation Sans"/>
      <w:b/>
      <w:bCs/>
      <w:color w:val="17384A"/>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Liberation Sans" w:hAnsi="Liberation Sans"/>
      <w:b/>
      <w:bCs/>
      <w:color w:val="1738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Liberation Sans" w:hAnsi="Liberation Sans"/>
      <w:color w:val="17384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C06 — Preparation and Transfer</dc:title>
  <dc:subject>C06 v1.1.0 · local teaching candidate</dc:subject>
  <dc:creator>Web Technologies teaching materials</dc:creator>
  <cp:keywords/>
  <dc:description>generated by python-docx</dc:description>
  <cp:lastModifiedBy/>
  <cp:revision>1</cp:revision>
  <dcterms:created xsi:type="dcterms:W3CDTF">2013-12-23T23:15:00Z</dcterms:created>
  <dcterms:modified xsi:type="dcterms:W3CDTF">2013-12-23T23:15:00Z</dcterms:modified>
  <cp:category/>
</cp:coreProperties>
</file>