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C13 — Preparation and Transfer</w:t>
      </w:r>
    </w:p>
    <w:p>
      <w:pPr>
        <w:jc w:val="center"/>
      </w:pPr>
      <w:r>
        <w:rPr>
          <w:rFonts w:ascii="Times New Roman" w:hAnsi="Times New Roman"/>
          <w:b/>
          <w:sz w:val="24"/>
        </w:rPr>
        <w:t>Before the course and transfer to S13</w:t>
      </w:r>
    </w:p>
    <w:p>
      <w:pPr>
        <w:jc w:val="center"/>
      </w:pPr>
      <w:r>
        <w:rPr>
          <w:i/>
          <w:sz w:val="21"/>
        </w:rPr>
        <w:t>Status: WIP/PREVIEW — not FINAL</w:t>
      </w:r>
    </w:p>
    <w:p>
      <w:pPr>
        <w:pStyle w:val="Heading1"/>
      </w:pPr>
      <w:r>
        <w:t>Before the course</w:t>
      </w:r>
    </w:p>
    <w:p>
      <w:r>
        <w:t>Do not install packages or start the canonical example servers. Read the Unit 13 introduction and record a prediction for each question.</w:t>
      </w:r>
    </w:p>
    <w:p>
      <w:pPr>
        <w:pStyle w:val="ListNumber"/>
        <w:ind w:firstLine="0" w:left="340"/>
      </w:pPr>
      <w:r>
        <w:t>A persisted JSON record has the correct key but an unsupported version. Which boundary decides whether to migrate or remove it?</w:t>
      </w:r>
    </w:p>
    <w:p>
      <w:pPr>
        <w:pStyle w:val="ListNumber"/>
        <w:ind w:firstLine="0" w:left="340"/>
      </w:pPr>
      <w:r>
        <w:t>A large ArrayBuffer is sent to a Worker. When would transfer be preferable to cloning?</w:t>
      </w:r>
    </w:p>
    <w:p>
      <w:pPr>
        <w:pStyle w:val="ListNumber"/>
        <w:ind w:firstLine="0" w:left="340"/>
      </w:pPr>
      <w:r>
        <w:t>A Service Worker is active but navigator.serviceWorker.controller is null. Which facts are established and which are not?</w:t>
      </w:r>
    </w:p>
    <w:p>
      <w:pPr>
        <w:pStyle w:val="ListNumber"/>
        <w:ind w:firstLine="0" w:left="340"/>
      </w:pPr>
      <w:r>
        <w:t>An iframe message has the expected payload but arrives from a different Window. Which check rejects it?</w:t>
      </w:r>
    </w:p>
    <w:p>
      <w:pPr>
        <w:pStyle w:val="ListNumber"/>
        <w:ind w:firstLine="0" w:left="340"/>
      </w:pPr>
      <w:r>
        <w:t>A replaced frame sends a late ready message. Which lifecycle identifier rejects it?</w:t>
      </w:r>
    </w:p>
    <w:p>
      <w:pPr>
        <w:pStyle w:val="Heading1"/>
      </w:pPr>
      <w:r>
        <w:t>During C13</w:t>
      </w:r>
    </w:p>
    <w:p>
      <w:r>
        <w:t>For each observation, label its evidence class: SOURCE, FIXED_MODEL, JAVASCRIPT_HELPER, FAKE_ENDPOINT, REAL_BROWSER or PLATFORM. Do not convert historical README validation claims into current execution evidence.</w:t>
      </w:r>
    </w:p>
    <w:p>
      <w:r>
        <w:t>Do not copy cookies, tokens, credentials or private institutional data into notes. Do not start Worker, Service Worker or multi-origin examples merely because their README contains commands.</w:t>
      </w:r>
    </w:p>
    <w:p>
      <w:pPr>
        <w:pStyle w:val="Heading1"/>
      </w:pPr>
      <w:r>
        <w:t>Transfer to S13</w:t>
      </w:r>
    </w:p>
    <w:p>
      <w:pPr>
        <w:ind w:firstLine="0"/>
      </w:pPr>
      <w:r>
        <w:t>P01 is the central implementation. The assessed path is:</w:t>
      </w:r>
    </w:p>
    <w:p>
      <w:pPr>
        <w:ind w:firstLine="0"/>
      </w:pPr>
      <w:r>
        <w:rPr>
          <w:rFonts w:ascii="Courier New" w:hAnsi="Courier New"/>
          <w:sz w:val="20"/>
        </w:rPr>
        <w:t>student/src/worker-client.js</w:t>
      </w:r>
    </w:p>
    <w:p>
      <w:r>
        <w:t>Prepare a lifecycle table for synchronous reply, reversed completion, progress, abort, worker failure and disposal. Each row should identify settlement, pending cleanup, timer cleanup, listener cleanup and whether later analysis is allowed.</w:t>
      </w:r>
    </w:p>
    <w:p>
      <w:r>
        <w:t>P02 contributes a guided lifecycle trace for registered, ready and controlled states. P03 remains optional advanced.</w:t>
      </w:r>
    </w:p>
    <w:p>
      <w:r>
        <w:t>At the end of S13, launch the Regression Harness portfolio by recording its package identity, target behaviour, initial unit/integration/HTTP matrix, one mutation candidate and outstanding work. Do not claim completion in the five-minute hand-off.</w:t>
      </w:r>
    </w:p>
    <w:p>
      <w:pPr>
        <w:pStyle w:val="Heading1"/>
      </w:pPr>
      <w:r>
        <w:t>Bounded Gemini critique</w:t>
      </w:r>
    </w:p>
    <w:p>
      <w:r>
        <w:t>Ask Gemini about one sanitised Worker lifecycle, Service Worker control or message-trust claim using a minimal excerpt. Preserve only the relevant actual response excerpt, then verify independently. Use ACCEPTED, REJECTED, PARTIALLY ACCEPTED or UNKNOWN. UNKNOWN is not a pass for the implementation.</w:t>
      </w:r>
    </w:p>
    <w:p>
      <w:pPr>
        <w:pStyle w:val="Heading1"/>
      </w:pPr>
      <w:r>
        <w:t>STOP condition</w:t>
      </w:r>
    </w:p>
    <w:p>
      <w:r>
        <w:t>At minute 60, save an honest draft. Record unfinished P01 work, pending real-browser evidence and outstanding Regression Harness work. The reserved 30 minutes are not overflow.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18"/>
      </w:rPr>
      <w:t>WEB TECHNOLOGIES · ASE · 60-minute content limit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sz w:val="18"/>
      </w:rPr>
      <w:t>C13 preparation · WIP/PREVIEW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  <w:ind w:firstLine="340"/>
      <w:jc w:val="both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C13 Preparation and Transfer</dc:title>
  <dc:subject>TEHNOLOGII WEB 2026</dc:subject>
  <dc:creator>ASE Web Technologies teaching package</dc:creator>
  <cp:keywords>C13, browser composition, Worker, Service Worker, iframe, WIP/PREVIEW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