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C01 — preparation and transfer</w:t>
      </w:r>
    </w:p>
    <w:p>
      <w:pPr>
        <w:jc w:val="center"/>
      </w:pPr>
      <w:r>
        <w:rPr>
          <w:i/>
          <w:sz w:val="21"/>
        </w:rPr>
        <w:t>15–20 minutes after class</w:t>
      </w:r>
    </w:p>
    <w:p>
      <w:r>
        <w:t>Choose one HTTP exchange from a local application. Write one observed claim, the exact evidence and one limitation. Do not send real data or credentials to an AI service.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shd w:fill="D9EAF7"/>
          </w:tcPr>
          <w:p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4320"/>
            <w:shd w:fill="D9EAF7"/>
          </w:tcPr>
          <w:p>
            <w:r>
              <w:rPr>
                <w:rFonts w:ascii="Arial" w:hAnsi="Arial"/>
                <w:b/>
                <w:sz w:val="16"/>
              </w:rPr>
              <w:t>Response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URL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Method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Status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Header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Body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Limitation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C01 transfer</dc:title>
  <dc:subject>TEHNOLOGII WEB 2026</dc:subject>
  <dc:creator>python-docx</dc:creator>
  <cp:keywords>TEHNOLOGII WEB 2026; U01; HTTP; evidence; offline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