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C01 — pregătire şi transfer</w:t>
      </w:r>
    </w:p>
    <w:p>
      <w:pPr>
        <w:jc w:val="center"/>
      </w:pPr>
      <w:r>
        <w:rPr>
          <w:i/>
          <w:sz w:val="21"/>
        </w:rPr>
        <w:t>15–20 de minute după curs</w:t>
      </w:r>
    </w:p>
    <w:p>
      <w:r>
        <w:t>Alege un schimb HTTP dintr-o aplicaţie locală. Scrie o afirmaţie observată, proba exactă şi o limită. Nu trimite date reale sau credenţiale către un serviciu de 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Câmp</w:t>
            </w:r>
          </w:p>
        </w:tc>
        <w:tc>
          <w:tcPr>
            <w:tcW w:type="dxa" w:w="4320"/>
            <w:shd w:fill="D9EAF7"/>
          </w:tcPr>
          <w:p>
            <w:r>
              <w:rPr>
                <w:rFonts w:ascii="Arial" w:hAnsi="Arial"/>
                <w:b/>
                <w:sz w:val="16"/>
              </w:rPr>
              <w:t>Răspuns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Metodă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Antet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Corp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Limită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 transfer</dc:title>
  <dc:subject>TEHNOLOGII WEB 2026</dc:subject>
  <dc:creator>python-docx</dc:creator>
  <cp:keywords>TEHNOLOGII WEB 2026; U01; HTTP; evidence; offline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