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S06 — Individual evidence</w:t>
      </w:r>
    </w:p>
    <w:p>
      <w:pPr>
        <w:pStyle w:val="Subtitle"/>
      </w:pPr>
      <w:r>
        <w:t>Query API and the separate file observation</w:t>
      </w:r>
    </w:p>
    <w:p>
      <w:r>
        <w:t>Complete this form individually. Retain prior predictions, actual observations and limitations. Use concise excerpts or labelled evidence references. PENDING is allowed in a core draft. The final standard route needs P02, the short C06 file observation and the actual bounded Gemini review. Full P01/P03 implementations are not required.</w:t>
      </w:r>
    </w:p>
    <w:p>
      <w:r>
        <w:t>Final file: TW2026_S06_GROUP_Surname_GivenName.pdf. Keep the DOCX and JSON working drafts locally. A completed form does not certify correctness or confirm Moodle submission.</w:t>
      </w:r>
    </w:p>
    <w:p>
      <w:pPr>
        <w:pStyle w:val="Heading1"/>
      </w:pPr>
      <w:r>
        <w:t>Identity and measured environment</w:t>
      </w:r>
    </w:p>
    <w:p>
      <w:r>
        <w:t>Record the environment you actually used. A missing native package is a prerequisite block, not a failed student objective.</w:t>
      </w:r>
    </w:p>
    <w:p>
      <w:pPr>
        <w:keepNext/>
        <w:spacing w:before="100" w:after="40"/>
      </w:pPr>
      <w:r>
        <w:rPr>
          <w:b/>
          <w:sz w:val="20"/>
        </w:rPr>
        <w:t>Surname [surname]</w:t>
      </w:r>
    </w:p>
    <w:p>
      <w:pPr>
        <w:keepNext/>
        <w:spacing w:after="40"/>
      </w:pPr>
      <w:r>
        <w:rPr>
          <w:color w:val="52626B"/>
          <w:sz w:val="18"/>
        </w:rPr>
        <w:t>Your surname as used in the private assessment submission; do not put this completed form in a public repository.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Given name [given]</w:t>
      </w:r>
    </w:p>
    <w:p>
      <w:pPr>
        <w:keepNext/>
        <w:spacing w:after="40"/>
      </w:pPr>
      <w:r>
        <w:rPr>
          <w:color w:val="52626B"/>
          <w:sz w:val="18"/>
        </w:rPr>
        <w:t>Your given name. Keep the resulting filename readable and check it before saving.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Group [group]</w:t>
      </w:r>
    </w:p>
    <w:p>
      <w:pPr>
        <w:keepNext/>
        <w:spacing w:after="40"/>
      </w:pPr>
      <w:r>
        <w:rPr>
          <w:color w:val="52626B"/>
          <w:sz w:val="18"/>
        </w:rPr>
        <w:t>Your seminar group. No invented demonstration identifier belongs in a real submission.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Actual C06/S06 version or package identity [kits]</w:t>
      </w:r>
    </w:p>
    <w:p>
      <w:pPr>
        <w:keepNext/>
        <w:spacing w:after="40"/>
      </w:pPr>
      <w:r>
        <w:rPr>
          <w:color w:val="52626B"/>
          <w:sz w:val="18"/>
        </w:rPr>
        <w:t>Record C06 and S06 v1.1.0 or their package identifiers from PACKAGE_ID.txt.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Operating system [os]</w:t>
      </w:r>
    </w:p>
    <w:p>
      <w:pPr>
        <w:keepNext/>
        <w:spacing w:after="40"/>
      </w:pPr>
      <w:r>
        <w:rPr>
          <w:color w:val="52626B"/>
          <w:sz w:val="18"/>
        </w:rPr>
        <w:t>Record the operating system and relevant version actually used.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Terminal and client used [terminal]</w:t>
      </w:r>
    </w:p>
    <w:p>
      <w:pPr>
        <w:keepNext/>
        <w:spacing w:after="40"/>
      </w:pPr>
      <w:r>
        <w:rPr>
          <w:color w:val="52626B"/>
          <w:sz w:val="18"/>
        </w:rPr>
        <w:t>Record the terminal and HTTP client; CLI observations are sufficient for the client evidence.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Observed Node version [node]</w:t>
      </w:r>
    </w:p>
    <w:p>
      <w:pPr>
        <w:keepNext/>
        <w:spacing w:after="40"/>
      </w:pPr>
      <w:r>
        <w:rPr>
          <w:color w:val="52626B"/>
          <w:sz w:val="18"/>
        </w:rPr>
        <w:t>Record the value actually observed or UNKNOWN with reason. Never prefill the project reference as a measurement.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Observed npm version [npm]</w:t>
      </w:r>
    </w:p>
    <w:p>
      <w:pPr>
        <w:keepNext/>
        <w:spacing w:after="40"/>
      </w:pPr>
      <w:r>
        <w:rPr>
          <w:color w:val="52626B"/>
          <w:sz w:val="18"/>
        </w:rPr>
        <w:t>Record the value actually observed or UNKNOWN with reason. Never prefill the project reference as a measurement.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Observed Sequelize, sqlite3 and Express resolution/load status [dependencies]</w:t>
      </w:r>
    </w:p>
    <w:p>
      <w:pPr>
        <w:keepNext/>
        <w:spacing w:after="40"/>
      </w:pPr>
      <w:r>
        <w:rPr>
          <w:color w:val="52626B"/>
          <w:sz w:val="18"/>
        </w:rPr>
        <w:t>Give resolution/native-load state or a short block message. Link longer preflight output in traceability. A version lookup is not a native-driver test.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r>
        <w:br w:type="page"/>
      </w:r>
    </w:p>
    <w:p>
      <w:pPr>
        <w:pStyle w:val="Heading1"/>
      </w:pPr>
      <w:r>
        <w:t>Prediction and central P02 result</w:t>
      </w:r>
    </w:p>
    <w:p>
      <w:r>
        <w:t>Preserve the prediction before execution. P02 is the only required complete implementation.</w:t>
      </w:r>
    </w:p>
    <w:p>
      <w:pPr>
        <w:keepNext/>
        <w:spacing w:before="100" w:after="40"/>
      </w:pPr>
      <w:r>
        <w:rPr>
          <w:b/>
          <w:sz w:val="20"/>
        </w:rPr>
        <w:t>Exact method, path and query [query_input]</w:t>
      </w:r>
    </w:p>
    <w:p>
      <w:pPr>
        <w:keepNext/>
        <w:spacing w:after="40"/>
      </w:pPr>
      <w:r>
        <w:rPr>
          <w:color w:val="52626B"/>
          <w:sz w:val="18"/>
        </w:rPr>
        <w:t>Copy the exact GET /api/notes query, including repeated keys, encoding and selected fields. Keep the URL before execution.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Original predicted IDs, order and fields [prediction]</w:t>
      </w:r>
    </w:p>
    <w:p>
      <w:pPr>
        <w:keepNext/>
        <w:spacing w:after="40"/>
      </w:pPr>
      <w:r>
        <w:rPr>
          <w:color w:val="52626B"/>
          <w:sz w:val="18"/>
        </w:rPr>
        <w:t>Before running, predict the IDs, ordering and field set from the four supplied rows. Do not replace a wrong prediction retrospectively.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Seed and database instance used [fixture]</w:t>
      </w:r>
    </w:p>
    <w:p>
      <w:pPr>
        <w:keepNext/>
        <w:spacing w:after="40"/>
      </w:pPr>
      <w:r>
        <w:rPr>
          <w:color w:val="52626B"/>
          <w:sz w:val="18"/>
        </w:rPr>
        <w:t>Identify projects/p02/src/database.js, the fresh in-memory instance and any deliberately different fixture. Do not claim that :memory: is a disk file.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Allowed edit path [allowed_edit]</w:t>
      </w:r>
    </w:p>
    <w:p>
      <w:pPr>
        <w:keepNext/>
        <w:spacing w:after="40"/>
      </w:pPr>
      <w:r>
        <w:rPr>
          <w:color w:val="52626B"/>
          <w:sz w:val="18"/>
        </w:rPr>
        <w:t>Only projects/p02/src/note-query.js is required. State that path; measured differences belong in the diff field.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Actual command or check identifier [command]</w:t>
      </w:r>
    </w:p>
    <w:p>
      <w:pPr>
        <w:keepNext/>
        <w:spacing w:after="40"/>
      </w:pPr>
      <w:r>
        <w:rPr>
          <w:color w:val="52626B"/>
          <w:sz w:val="18"/>
        </w:rPr>
        <w:t>Copy the actual command/check identifier and label its original output. A command written but not run is PENDING.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r>
        <w:br w:type="page"/>
      </w:r>
    </w:p>
    <w:p>
      <w:pPr>
        <w:pStyle w:val="Heading1"/>
      </w:pPr>
      <w:r>
        <w:t>Prediction and central P02 result — continued</w:t>
      </w:r>
    </w:p>
    <w:p>
      <w:r>
        <w:t>Preserve the prediction before execution. P02 is the only required complete implementation.</w:t>
      </w:r>
    </w:p>
    <w:p>
      <w:pPr>
        <w:keepNext/>
        <w:spacing w:before="100" w:after="40"/>
      </w:pPr>
      <w:r>
        <w:rPr>
          <w:b/>
          <w:sz w:val="20"/>
        </w:rPr>
        <w:t>Observed output or explicit prerequisite block [observed]</w:t>
      </w:r>
    </w:p>
    <w:p>
      <w:pPr>
        <w:keepNext/>
        <w:spacing w:after="40"/>
      </w:pPr>
      <w:r>
        <w:rPr>
          <w:color w:val="52626B"/>
          <w:sz w:val="18"/>
        </w:rPr>
        <w:t>Paste a bounded actual status/header/body excerpt, result IDs and evidence reference, or BLOCKED with the real reason.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Prediction versus observation [comparison]</w:t>
      </w:r>
    </w:p>
    <w:p>
      <w:pPr>
        <w:keepNext/>
        <w:spacing w:after="40"/>
      </w:pPr>
      <w:r>
        <w:rPr>
          <w:color w:val="52626B"/>
          <w:sz w:val="18"/>
        </w:rPr>
        <w:t>Explain agreement or discrepancy with the original prediction and the next discriminating change.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Class of the central evidence [evidence_class]</w:t>
      </w:r>
    </w:p>
    <w:p>
      <w:pPr>
        <w:keepNext/>
        <w:spacing w:after="40"/>
      </w:pPr>
      <w:r>
        <w:rPr>
          <w:color w:val="52626B"/>
          <w:sz w:val="18"/>
        </w:rPr>
        <w:t>For the standard final route link ACTUAL_ORM_SQLITE: evidence-id and LOCAL_HTTP: evidence-id from the real supplied application. Source/model evidence remains labelled separately.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Current implementation state [implementation]</w:t>
      </w:r>
    </w:p>
    <w:p>
      <w:pPr>
        <w:keepNext/>
        <w:spacing w:after="40"/>
      </w:pPr>
      <w:r>
        <w:rPr>
          <w:color w:val="52626B"/>
          <w:sz w:val="18"/>
        </w:rPr>
        <w:t>State untouched, partial or completed implementation and what the last actual check establishes. Do not equate a complete form with a correct translator.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r>
        <w:br w:type="page"/>
      </w:r>
    </w:p>
    <w:p>
      <w:pPr>
        <w:pStyle w:val="Heading1"/>
      </w:pPr>
      <w:r>
        <w:t>Filtering, ordering and rejection evidence</w:t>
      </w:r>
    </w:p>
    <w:p>
      <w:r>
        <w:t>Identify each witness and its limit. A single response or a plausible options object is not a universal database guarantee.</w:t>
      </w:r>
    </w:p>
    <w:p>
      <w:pPr>
        <w:keepNext/>
        <w:spacing w:before="100" w:after="40"/>
      </w:pPr>
      <w:r>
        <w:rPr>
          <w:b/>
          <w:sz w:val="20"/>
        </w:rPr>
        <w:t>Combined owner and archived comparison [combined]</w:t>
      </w:r>
    </w:p>
    <w:p>
      <w:pPr>
        <w:keepNext/>
        <w:spacing w:after="40"/>
      </w:pPr>
      <w:r>
        <w:rPr>
          <w:color w:val="52626B"/>
          <w:sz w:val="18"/>
        </w:rPr>
        <w:t>Record a query combining trimmed owner and the exact archived token, its predicted set, actual rows and a limitation.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Literal-percent and ASCII-case witness [search_literal]</w:t>
      </w:r>
    </w:p>
    <w:p>
      <w:pPr>
        <w:keepNext/>
        <w:spacing w:after="40"/>
      </w:pPr>
      <w:r>
        <w:rPr>
          <w:color w:val="52626B"/>
          <w:sz w:val="18"/>
        </w:rPr>
        <w:t>Record search=%25 and an ASCII-case query. Preserve literal-percent results; do not infer general Unicode folding.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Evidence for all three sort modes [sorts]</w:t>
      </w:r>
    </w:p>
    <w:p>
      <w:pPr>
        <w:keepNext/>
        <w:spacing w:after="40"/>
      </w:pPr>
      <w:r>
        <w:rPr>
          <w:color w:val="52626B"/>
          <w:sz w:val="18"/>
        </w:rPr>
        <w:t>Give evidence for updated_desc, updated_asc and title_asc on the identified seed. Include exact query and ordered IDs.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Equal-key case and ID tie-breaker [tie]</w:t>
      </w:r>
    </w:p>
    <w:p>
      <w:pPr>
        <w:keepNext/>
        <w:spacing w:after="40"/>
      </w:pPr>
      <w:r>
        <w:rPr>
          <w:color w:val="52626B"/>
          <w:sz w:val="18"/>
        </w:rPr>
        <w:t>Use the two equal updatedAt values. Record ascending ID and the specified order; removing a tie-breaker need not visibly shuffle one small run.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Bounded selected fields including ID [projection]</w:t>
      </w:r>
    </w:p>
    <w:p>
      <w:pPr>
        <w:keepNext/>
        <w:spacing w:after="40"/>
      </w:pPr>
      <w:r>
        <w:rPr>
          <w:color w:val="52626B"/>
          <w:sz w:val="18"/>
        </w:rPr>
        <w:t>Record fields=title,owner and the actual returned keys including id. Distinguish requested order from JSON object key-order guarantees.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r>
        <w:br w:type="page"/>
      </w:r>
    </w:p>
    <w:p>
      <w:pPr>
        <w:pStyle w:val="Heading1"/>
      </w:pPr>
      <w:r>
        <w:t>Filtering, ordering and rejection evidence — continued</w:t>
      </w:r>
    </w:p>
    <w:p>
      <w:r>
        <w:t>Identify each witness and its limit. A single response or a plausible options object is not a universal database guarantee.</w:t>
      </w:r>
    </w:p>
    <w:p>
      <w:pPr>
        <w:keepNext/>
        <w:spacing w:before="100" w:after="40"/>
      </w:pPr>
      <w:r>
        <w:rPr>
          <w:b/>
          <w:sz w:val="20"/>
        </w:rPr>
        <w:t>Invalid token and public error evidence [invalid]</w:t>
      </w:r>
    </w:p>
    <w:p>
      <w:pPr>
        <w:keepNext/>
        <w:spacing w:after="40"/>
      </w:pPr>
      <w:r>
        <w:rPr>
          <w:color w:val="52626B"/>
          <w:sz w:val="18"/>
        </w:rPr>
        <w:t>Record one invalid token, its 400 invalid_query envelope and the input. A missing dependency is not a student assertion failure.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Repeated or unknown parameter witness [repeated]</w:t>
      </w:r>
    </w:p>
    <w:p>
      <w:pPr>
        <w:keepNext/>
        <w:spacing w:after="40"/>
      </w:pPr>
      <w:r>
        <w:rPr>
          <w:color w:val="52626B"/>
          <w:sz w:val="18"/>
        </w:rPr>
        <w:t>Record a repeated key and an unknown key separately, with actual public responses and evidence IDs.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Evidence about rejection before findAll [no_query]</w:t>
      </w:r>
    </w:p>
    <w:p>
      <w:pPr>
        <w:keepNext/>
        <w:spacing w:after="40"/>
      </w:pPr>
      <w:r>
        <w:rPr>
          <w:color w:val="52626B"/>
          <w:sz w:val="18"/>
        </w:rPr>
        <w:t>Use the supplied objective spy or query observer: count findAll calls for a specific rejected query. State whether this was source/model, real route or actual ORM evidence; 400 alone proves no call count.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Valid query after rejection [recovery]</w:t>
      </w:r>
    </w:p>
    <w:p>
      <w:pPr>
        <w:keepNext/>
        <w:spacing w:after="40"/>
      </w:pPr>
      <w:r>
        <w:rPr>
          <w:color w:val="52626B"/>
          <w:sz w:val="18"/>
        </w:rPr>
        <w:t>Record a valid query immediately after rejection against the same server/fixture. Give status and actual row evidence.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r>
        <w:br w:type="page"/>
      </w:r>
    </w:p>
    <w:p>
      <w:pPr>
        <w:pStyle w:val="Heading1"/>
      </w:pPr>
      <w:r>
        <w:t>Separate course lifecycle observation</w:t>
      </w:r>
    </w:p>
    <w:p>
      <w:r>
        <w:t>This small course observation uses a temporary file separately from P02. Full Persistent Notes API implementation is not required.</w:t>
      </w:r>
    </w:p>
    <w:p>
      <w:pPr>
        <w:keepNext/>
        <w:spacing w:before="100" w:after="40"/>
      </w:pPr>
      <w:r>
        <w:rPr>
          <w:b/>
          <w:sz w:val="20"/>
        </w:rPr>
        <w:t>Predict the minimal file-example outcome [lifecycle_prediction]</w:t>
      </w:r>
    </w:p>
    <w:p>
      <w:pPr>
        <w:keepNext/>
        <w:spacing w:after="40"/>
      </w:pPr>
      <w:r>
        <w:rPr>
          <w:color w:val="52626B"/>
          <w:sz w:val="18"/>
        </w:rPr>
        <w:t>Before the C06 Example 02 observation, predict the row marker after ordinary reopen and after explicit reset.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Memory or exact owned temporary file; no personal path dump [storage]</w:t>
      </w:r>
    </w:p>
    <w:p>
      <w:pPr>
        <w:keepNext/>
        <w:spacing w:after="40"/>
      </w:pPr>
      <w:r>
        <w:rPr>
          <w:color w:val="52626B"/>
          <w:sz w:val="18"/>
        </w:rPr>
        <w:t>Record the owned temporary file path from the observation, not a personal database path. Distinguish this file from P02 :memory:.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Example or observation helper actually used [lifecycle_command]</w:t>
      </w:r>
    </w:p>
    <w:p>
      <w:pPr>
        <w:keepNext/>
        <w:spacing w:after="40"/>
      </w:pPr>
      <w:r>
        <w:rPr>
          <w:color w:val="52626B"/>
          <w:sz w:val="18"/>
        </w:rPr>
        <w:t>Copy the course lifecycle command and raw output reference, or PENDING. This reuses the minimal C06 helper, not a complete P01 implementation.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Row before close and after reopening [close_reopen]</w:t>
      </w:r>
    </w:p>
    <w:p>
      <w:pPr>
        <w:keepNext/>
        <w:spacing w:after="40"/>
      </w:pPr>
      <w:r>
        <w:rPr>
          <w:color w:val="52626B"/>
          <w:sz w:val="18"/>
        </w:rPr>
        <w:t>Record the marker and rows before and after the connection closes and reopens the same file. Never copy a supplied transcript as your own execution.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Same process or genuinely separate processes [process_boundary]</w:t>
      </w:r>
    </w:p>
    <w:p>
      <w:pPr>
        <w:keepNext/>
        <w:spacing w:after="40"/>
      </w:pPr>
      <w:r>
        <w:rPr>
          <w:color w:val="52626B"/>
          <w:sz w:val="18"/>
        </w:rPr>
        <w:t>Start with SAME_PROCESS_CONNECTION_REOPEN: evidence-id or SEPARATE_PROCESS_RESTART: evidence-id, whichever actually occurred. The supplied helper uses one process.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Normal initialisation versus explicit reset [reset]</w:t>
      </w:r>
    </w:p>
    <w:p>
      <w:pPr>
        <w:keepNext/>
        <w:spacing w:after="40"/>
      </w:pPr>
      <w:r>
        <w:rPr>
          <w:color w:val="52626B"/>
          <w:sz w:val="18"/>
        </w:rPr>
        <w:t>Record the explicit reset flag, observed removal of the marker and temporary-directory cleanup state. Do not reset a personal database.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Persistence claim and remaining limitation [lifecycle_limit]</w:t>
      </w:r>
    </w:p>
    <w:p>
      <w:pPr>
        <w:keepNext/>
        <w:spacing w:after="40"/>
      </w:pPr>
      <w:r>
        <w:rPr>
          <w:color w:val="52626B"/>
          <w:sz w:val="18"/>
        </w:rPr>
        <w:t>State what the observation does not prove, such as crash recovery or power-loss durability.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r>
        <w:br w:type="page"/>
      </w:r>
    </w:p>
    <w:p>
      <w:pPr>
        <w:pStyle w:val="Heading1"/>
      </w:pPr>
      <w:r>
        <w:t>Bounded Gemini review</w:t>
      </w:r>
    </w:p>
    <w:p>
      <w:r>
        <w:t>Verify one bounded claim independently. A synthetic practice claim is not an actual Gemini interaction.</w:t>
      </w:r>
    </w:p>
    <w:p>
      <w:pPr>
        <w:keepNext/>
        <w:spacing w:before="100" w:after="40"/>
      </w:pPr>
      <w:r>
        <w:rPr>
          <w:b/>
          <w:sz w:val="20"/>
        </w:rPr>
        <w:t>Actual interaction, pending or separate approved alternative [gemini_state]</w:t>
      </w:r>
    </w:p>
    <w:p>
      <w:pPr>
        <w:keepNext/>
        <w:spacing w:after="40"/>
      </w:pPr>
      <w:r>
        <w:rPr>
          <w:color w:val="52626B"/>
          <w:sz w:val="18"/>
        </w:rPr>
        <w:t>Choose ACTUAL_INTERACTION only after performing it. SYNTHETIC_PRACTICE and PENDING do not satisfy the standard final requirement.</w:t>
      </w:r>
    </w:p>
    <w:p>
      <w:pPr>
        <w:spacing w:after="100"/>
      </w:pPr>
      <w:r>
        <w:rPr>
          <w:sz w:val="19"/>
        </w:rPr>
        <w:t>Choice: PENDING / SYNTHETIC_PRACTICE / ACTUAL_INTERACTION / TEACHER_APPROVED_ALTERNATIVE</w:t>
      </w:r>
    </w:p>
    <w:p>
      <w:pPr>
        <w:keepNext/>
        <w:spacing w:before="100" w:after="40"/>
      </w:pPr>
      <w:r>
        <w:rPr>
          <w:b/>
          <w:sz w:val="20"/>
        </w:rPr>
        <w:t>Sanitised relevant prompt [gemini_prompt]</w:t>
      </w:r>
    </w:p>
    <w:p>
      <w:pPr>
        <w:keepNext/>
        <w:spacing w:after="40"/>
      </w:pPr>
      <w:r>
        <w:rPr>
          <w:color w:val="52626B"/>
          <w:sz w:val="18"/>
        </w:rPr>
        <w:t>Paste only the relevant sanitised prompt. No full conversation, credentials or private records.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One selected claim [gemini_claim]</w:t>
      </w:r>
    </w:p>
    <w:p>
      <w:pPr>
        <w:keepNext/>
        <w:spacing w:after="40"/>
      </w:pPr>
      <w:r>
        <w:rPr>
          <w:color w:val="52626B"/>
          <w:sz w:val="18"/>
        </w:rPr>
        <w:t>Quote or faithfully paraphrase the single claim selected for review. Do not attribute the supplied synthetic text to an actual session.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Independent verification [gemini_check]</w:t>
      </w:r>
    </w:p>
    <w:p>
      <w:pPr>
        <w:keepNext/>
        <w:spacing w:after="40"/>
      </w:pPr>
      <w:r>
        <w:rPr>
          <w:color w:val="52626B"/>
          <w:sz w:val="18"/>
        </w:rPr>
        <w:t>Record the independent input, command, output and evidence class. A second AI opinion is not the independent check.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ACCEPTED / REJECTED / PARTIALLY ACCEPTED / UNKNOWN [gemini_verdict]</w:t>
      </w:r>
    </w:p>
    <w:p>
      <w:pPr>
        <w:keepNext/>
        <w:spacing w:after="40"/>
      </w:pPr>
      <w:r>
        <w:rPr>
          <w:color w:val="52626B"/>
          <w:sz w:val="18"/>
        </w:rPr>
        <w:t>Choose the conclusion justified by evidence. REJECTED or UNKNOWN is allowed; agreement earns no special credit.</w:t>
      </w:r>
    </w:p>
    <w:p>
      <w:pPr>
        <w:spacing w:after="100"/>
      </w:pPr>
      <w:r>
        <w:rPr>
          <w:sz w:val="19"/>
        </w:rPr>
        <w:t>Choice: ACCEPTED / REJECTED / PARTIALLY ACCEPTED / UNKNOWN</w:t>
      </w:r>
    </w:p>
    <w:p>
      <w:pPr>
        <w:keepNext/>
        <w:spacing w:before="100" w:after="40"/>
      </w:pPr>
      <w:r>
        <w:rPr>
          <w:b/>
          <w:sz w:val="20"/>
        </w:rPr>
        <w:t>Correction or justified NONE [gemini_correction]</w:t>
      </w:r>
    </w:p>
    <w:p>
      <w:pPr>
        <w:keepNext/>
        <w:spacing w:after="40"/>
      </w:pPr>
      <w:r>
        <w:rPr>
          <w:color w:val="52626B"/>
          <w:sz w:val="18"/>
        </w:rPr>
        <w:t>Give the smallest correction or NONE with a reason. Do not add an untested feature.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What the check cannot establish [gemini_limit]</w:t>
      </w:r>
    </w:p>
    <w:p>
      <w:pPr>
        <w:keepNext/>
        <w:spacing w:after="40"/>
      </w:pPr>
      <w:r>
        <w:rPr>
          <w:color w:val="52626B"/>
          <w:sz w:val="18"/>
        </w:rPr>
        <w:t>State the bounded scope and remaining uncertainty of the independent check.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r>
        <w:br w:type="page"/>
      </w:r>
    </w:p>
    <w:p>
      <w:pPr>
        <w:pStyle w:val="Heading1"/>
      </w:pPr>
      <w:r>
        <w:t>Checks, edit boundary and traceability</w:t>
      </w:r>
    </w:p>
    <w:p>
      <w:r>
        <w:t>Preserve named checks, exact edit boundaries and evidence links. Labels do not authenticate observations.</w:t>
      </w:r>
    </w:p>
    <w:p>
      <w:pPr>
        <w:keepNext/>
        <w:spacing w:before="100" w:after="40"/>
      </w:pPr>
      <w:r>
        <w:rPr>
          <w:b/>
          <w:sz w:val="20"/>
        </w:rPr>
        <w:t>Actual baseline status and excerpt [baseline]</w:t>
      </w:r>
    </w:p>
    <w:p>
      <w:pPr>
        <w:keepNext/>
        <w:spacing w:after="40"/>
      </w:pPr>
      <w:r>
        <w:rPr>
          <w:color w:val="52626B"/>
          <w:sz w:val="18"/>
        </w:rPr>
        <w:t>Preserve raw baseline status and evidence identifier. BLOCKED is an environment state, not an expected assertion.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Actual objective status and excerpt [objective]</w:t>
      </w:r>
    </w:p>
    <w:p>
      <w:pPr>
        <w:keepNext/>
        <w:spacing w:after="40"/>
      </w:pPr>
      <w:r>
        <w:rPr>
          <w:color w:val="52626B"/>
          <w:sz w:val="18"/>
        </w:rPr>
        <w:t>Preserve the actual named objective tests and counts. Initial expected failures require the exact untouched target; complete work requires real passing checks.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Actual regression status and excerpt [regression]</w:t>
      </w:r>
    </w:p>
    <w:p>
      <w:pPr>
        <w:keepNext/>
        <w:spacing w:after="40"/>
      </w:pPr>
      <w:r>
        <w:rPr>
          <w:color w:val="52626B"/>
          <w:sz w:val="18"/>
        </w:rPr>
        <w:t>Record the real regression outcome and recovery evidence without duplicating it as independent coverage.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One-file diff summary and protected-file status [diff]</w:t>
      </w:r>
    </w:p>
    <w:p>
      <w:pPr>
        <w:keepNext/>
        <w:spacing w:after="40"/>
      </w:pPr>
      <w:r>
        <w:rPr>
          <w:color w:val="52626B"/>
          <w:sz w:val="18"/>
        </w:rPr>
        <w:t>Copy the protected-boundary result and summarise the one allowed change; tests, seed, models and lockfiles must remain unchanged.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Evidence identifiers and reproducible sequence [traceability]</w:t>
      </w:r>
    </w:p>
    <w:p>
      <w:pPr>
        <w:keepNext/>
        <w:spacing w:after="40"/>
      </w:pPr>
      <w:r>
        <w:rPr>
          <w:color w:val="52626B"/>
          <w:sz w:val="18"/>
        </w:rPr>
        <w:t>Map E1-E6 to filenames or evidence excerpts and commands. Include the fresh-options/input-preservation witness here (E4). Keep local JSON drafts out of the final Moodle upload.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Next minimum unresolved check or justified NONE [next_check]</w:t>
      </w:r>
    </w:p>
    <w:p>
      <w:pPr>
        <w:keepNext/>
        <w:spacing w:after="40"/>
      </w:pPr>
      <w:r>
        <w:rPr>
          <w:color w:val="52626B"/>
          <w:sz w:val="18"/>
        </w:rPr>
        <w:t>State the smallest remaining discriminating check or NONE with a reason.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r>
        <w:br w:type="page"/>
      </w:r>
    </w:p>
    <w:p>
      <w:pPr>
        <w:pStyle w:val="Heading1"/>
      </w:pPr>
      <w:r>
        <w:t>Final status and declaration</w:t>
      </w:r>
    </w:p>
    <w:p>
      <w:r>
        <w:t>Save an honest draft at minute 60. Standard final submission includes remaining P02 work and the separate lifecycle observation.</w:t>
      </w:r>
    </w:p>
    <w:p>
      <w:pPr>
        <w:keepNext/>
        <w:spacing w:before="100" w:after="40"/>
      </w:pPr>
      <w:r>
        <w:rPr>
          <w:b/>
          <w:sz w:val="20"/>
        </w:rPr>
        <w:t>Standard completed evidence or separately authorised alternative [final_mode]</w:t>
      </w:r>
    </w:p>
    <w:p>
      <w:pPr>
        <w:keepNext/>
        <w:spacing w:after="40"/>
      </w:pPr>
      <w:r>
        <w:rPr>
          <w:color w:val="52626B"/>
          <w:sz w:val="18"/>
        </w:rPr>
        <w:t>STANDARD requires actual application and lifecycle evidence. An alternative must already have been granted separately, with reference and scope recorded below.</w:t>
      </w:r>
    </w:p>
    <w:p>
      <w:pPr>
        <w:spacing w:after="100"/>
      </w:pPr>
      <w:r>
        <w:rPr>
          <w:sz w:val="19"/>
        </w:rPr>
        <w:t>Choice: STANDARD / TEACHER_APPROVED_ALTERNATIVE</w:t>
      </w:r>
    </w:p>
    <w:p>
      <w:pPr>
        <w:keepNext/>
        <w:spacing w:before="100" w:after="40"/>
      </w:pPr>
      <w:r>
        <w:rPr>
          <w:b/>
          <w:sz w:val="20"/>
        </w:rPr>
        <w:t>Separate teacher decision reference, when applicable [alternative_ref]</w:t>
      </w:r>
    </w:p>
    <w:p>
      <w:pPr>
        <w:keepNext/>
        <w:spacing w:after="40"/>
      </w:pPr>
      <w:r>
        <w:rPr>
          <w:color w:val="52626B"/>
          <w:sz w:val="18"/>
        </w:rPr>
        <w:t>For STANDARD write NONE. Otherwise start AUTHORISATION: and record teacher, date, decision reference, affected requirements and replacement evidence. The form cannot authenticate this.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Mechanism-based reflection [reflection]</w:t>
      </w:r>
    </w:p>
    <w:p>
      <w:pPr>
        <w:keepNext/>
        <w:spacing w:after="40"/>
      </w:pPr>
      <w:r>
        <w:rPr>
          <w:color w:val="52626B"/>
          <w:sz w:val="18"/>
        </w:rPr>
        <w:t>Explain one mechanism you now understand and which observation changed or confirmed your initial view.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Specific remaining uncertainty [uncertainty]</w:t>
      </w:r>
    </w:p>
    <w:p>
      <w:pPr>
        <w:keepNext/>
        <w:spacing w:after="40"/>
      </w:pPr>
      <w:r>
        <w:rPr>
          <w:color w:val="52626B"/>
          <w:sz w:val="18"/>
        </w:rPr>
        <w:t>State a specific untested case or limitation. Do not claim universal correctness from the supplied tests.</w:t>
      </w:r>
    </w:p>
    <w:p>
      <w:pPr>
        <w:spacing w:after="100"/>
      </w:pPr>
      <w:r>
        <w:rPr>
          <w:sz w:val="19"/>
        </w:rPr>
        <w:t>[Enter your response or evidence reference.]</w:t>
      </w:r>
    </w:p>
    <w:p>
      <w:pPr>
        <w:keepNext/>
        <w:spacing w:before="100" w:after="40"/>
      </w:pPr>
      <w:r>
        <w:rPr>
          <w:b/>
          <w:sz w:val="20"/>
        </w:rPr>
        <w:t>Truthful individual-work and evidence declaration [declaration]</w:t>
      </w:r>
    </w:p>
    <w:p>
      <w:pPr>
        <w:keepNext/>
        <w:spacing w:after="40"/>
      </w:pPr>
      <w:r>
        <w:rPr>
          <w:color w:val="52626B"/>
          <w:sz w:val="18"/>
        </w:rPr>
        <w:t>I performed or accurately identified the work, preserved original predictions and distinguished measured, imported and synthetic evidence. No secrets or private third-party data are included.</w:t>
      </w:r>
    </w:p>
    <w:p>
      <w:pPr>
        <w:spacing w:after="100"/>
      </w:pPr>
      <w:r>
        <w:rPr>
          <w:sz w:val="19"/>
        </w:rPr>
        <w:t>Declaration: YES / NO (choose after reviewing the final evidence)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S06 v1.1.0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26B"/>
        <w:sz w:val="16"/>
      </w:rPr>
      <w:t>WEB TECHNOLOGIES 2026  |  S06  |  QUERY 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3B4B"/>
      <w:sz w:val="28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3B4B"/>
      <w:sz w:val="24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73B4B"/>
      <w:sz w:val="22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173B4B"/>
      <w:spacing w:val="5"/>
      <w:kern w:val="28"/>
      <w:sz w:val="42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n-GB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n-GB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n-GB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n-GB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n-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n-GB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n-GB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n-GB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n-GB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n-GB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n-GB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n-GB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n-GB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n-GB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n-GB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S06 Individual evidence form</dc:title>
  <dc:subject>S06 Query API</dc:subject>
  <dc:creator>Web Technologies teaching materials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