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S06 — Query API</w:t>
      </w:r>
    </w:p>
    <w:p>
      <w:pPr>
        <w:pStyle w:val="Heading1"/>
      </w:pPr>
      <w:r>
        <w:rPr>
          <w:b w:val="0"/>
          <w:i w:val="0"/>
        </w:rPr>
        <w:t>One language, three boundaries</w:t>
      </w:r>
    </w:p>
    <w:p>
      <w:r>
        <w:rPr>
          <w:b w:val="0"/>
          <w:i w:val="0"/>
        </w:rPr>
        <w:t xml:space="preserve">A public query is not an ORM options object and an options object is not a database result. P02 asks you to implement the first translation without changing the supplied model, routes, seed or tests. The only required edit is </w:t>
      </w:r>
      <w:r>
        <w:rPr>
          <w:rFonts w:ascii="Consolas" w:hAnsi="Consolas"/>
          <w:b w:val="0"/>
          <w:i w:val="0"/>
          <w:sz w:val="19"/>
        </w:rPr>
        <w:t>projects/p02/src/note-query.js</w:t>
      </w:r>
      <w:r>
        <w:rPr>
          <w:b w:val="0"/>
          <w:i w:val="0"/>
        </w:rPr>
        <w:t>. Full P01/P03 implementations are not required.</w:t>
      </w:r>
    </w:p>
    <w:p>
      <w:r>
        <w:rPr>
          <w:b w:val="0"/>
          <w:i w:val="0"/>
        </w:rPr>
        <w:t xml:space="preserve">Before running, inspect the four rows in </w:t>
      </w:r>
      <w:r>
        <w:rPr>
          <w:rFonts w:ascii="Consolas" w:hAnsi="Consolas"/>
          <w:b w:val="0"/>
          <w:i w:val="0"/>
          <w:sz w:val="19"/>
        </w:rPr>
        <w:t>src/database.js</w:t>
      </w:r>
      <w:r>
        <w:rPr>
          <w:b w:val="0"/>
          <w:i w:val="0"/>
        </w:rPr>
        <w:t xml:space="preserve"> and predict the IDs, order and fields for </w:t>
      </w:r>
      <w:r>
        <w:rPr>
          <w:rFonts w:ascii="Consolas" w:hAnsi="Consolas"/>
          <w:b w:val="0"/>
          <w:i w:val="0"/>
          <w:sz w:val="19"/>
        </w:rPr>
        <w:t>owner=Ada&amp;archived=false&amp;sort=title_asc&amp;fields=title,owner</w:t>
      </w:r>
      <w:r>
        <w:rPr>
          <w:b w:val="0"/>
          <w:i w:val="0"/>
        </w:rPr>
        <w:t xml:space="preserve">. Keep that original prediction even when it is wrong. Refer to the complete contract at </w:t>
      </w:r>
      <w:r>
        <w:rPr>
          <w:rFonts w:ascii="Consolas" w:hAnsi="Consolas"/>
          <w:b w:val="0"/>
          <w:i w:val="0"/>
          <w:sz w:val="19"/>
        </w:rPr>
        <w:t>contracts/P02.html</w:t>
      </w:r>
      <w:r>
        <w:rPr>
          <w:b w:val="0"/>
          <w:i w:val="0"/>
        </w:rPr>
        <w:t xml:space="preserve"> and the copy-ready Windows/macOS/Linux commands at </w:t>
      </w:r>
      <w:r>
        <w:rPr>
          <w:rFonts w:ascii="Consolas" w:hAnsi="Consolas"/>
          <w:b w:val="0"/>
          <w:i w:val="0"/>
          <w:sz w:val="19"/>
        </w:rPr>
        <w:t>guide.html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The closed contract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Rule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 single nonblank string, trimmed; exact owner match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archived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Exactly the string true or false, no truthiness conversion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search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Nonblank literal substring; identify the default SQLite ASCII-case scope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sort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updated_desc, updated_asc or title_asc; finish with ascending ID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fields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Unique allowed title/owner/archived/updatedAt tokens; always add ID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Reject unknown or repeated keys and invalid fields before querying. Omit unused where/attributes options. Return fresh structures without mutating input. Use Sequelize operators/functions, not raw SQL or post-query array processing. A missing tie-breaker need not make one tiny result visibly shuffle.</w:t>
      </w:r>
    </w:p>
    <w:p>
      <w:pPr>
        <w:pStyle w:val="Heading1"/>
      </w:pPr>
      <w:r>
        <w:rPr>
          <w:b w:val="0"/>
          <w:i w:val="0"/>
        </w:rPr>
        <w:t>The meeting and the evidence</w:t>
      </w:r>
    </w:p>
    <w:p>
      <w:r>
        <w:rPr>
          <w:b w:val="0"/>
          <w:i w:val="0"/>
        </w:rPr>
        <w:t>0–6: identity and prediction. 6–12: prerequisites and initial checks. 12–28: validate and translate filters. 28–40: ordering and projection. 40–49: compare actual rows, calls and HTTP. 49–55: one Gemini claim. 55–60: save the truthful draft. The 28 implementation minutes do not guarantee completion of the full source exercise; finish remaining P02 before the later final deadline.</w:t>
      </w:r>
    </w:p>
    <w:p>
      <w:r>
        <w:rPr>
          <w:b w:val="0"/>
          <w:i w:val="0"/>
        </w:rPr>
        <w:t>E1 compares the combined query with the prior prediction. E2 covers all sorts, ties, literal percent and bounded fields. E3 rejects invalid/repeated/unknown inputs and shows recovery; a response code alone cannot prove zero findAll calls. E4 records fresh options and input preservation. E5 is the short C06 temporary-file observation, not full P01. E6 independently verifies one actual Gemini claim.</w:t>
      </w:r>
    </w:p>
    <w:p>
      <w:r>
        <w:rPr>
          <w:b w:val="0"/>
          <w:i w:val="0"/>
        </w:rPr>
        <w:t>Use SOURCE_REASONING or SOURCE_LINKED_MODEL for those forms of evidence, ACTUAL_ORM_SQLITE for a genuine supplied-stack run and LOCAL_HTTP for the client exchange. A driver-load block is not a student assertion failure. CLI evidence is acceptable; a browser screenshot is not required. No result from a different SQLite API qualifies the supplied Sequelize application.</w:t>
      </w:r>
    </w:p>
    <w:p>
      <w:pPr>
        <w:pStyle w:val="Heading1"/>
      </w:pPr>
      <w:r>
        <w:rPr>
          <w:b w:val="0"/>
          <w:i w:val="0"/>
        </w:rPr>
        <w:t>Save, complete and submit</w:t>
      </w:r>
    </w:p>
    <w:p>
      <w:r>
        <w:rPr>
          <w:b w:val="0"/>
          <w:i w:val="0"/>
        </w:rPr>
        <w:t>The HTML/DOCX forms share 52 fields. Capture concise excerpts or labelled evidence identifiers progressively; do not wait until the last minutes. The HTML supports JSON export/import, optional local storage and complete-value printing. An imported draft is unconfirmed and its declaration resets. Keep your backups privately. The form validates structure, not truth.</w:t>
      </w:r>
    </w:p>
    <w:p>
      <w:r>
        <w:rPr>
          <w:b w:val="0"/>
          <w:i w:val="0"/>
        </w:rPr>
        <w:t>After class finish P02 and the small lifecycle observation. The helper uses its own temporary file and closes/reopens connections within the same process. Record that boundary precisely; do not claim a process restart or power-loss test. Complete the bounded Gemini review or record an independently approved alternative.</w:t>
      </w:r>
    </w:p>
    <w:p>
      <w:r>
        <w:rPr>
          <w:b w:val="0"/>
          <w:i w:val="0"/>
        </w:rPr>
        <w:t xml:space="preserve">Export one </w:t>
      </w:r>
      <w:r>
        <w:rPr>
          <w:rFonts w:ascii="Consolas" w:hAnsi="Consolas"/>
          <w:b w:val="0"/>
          <w:i w:val="0"/>
          <w:sz w:val="19"/>
        </w:rPr>
        <w:t>TW2026_S06_GROUP_Surname_GivenName.pdf</w:t>
      </w:r>
      <w:r>
        <w:rPr>
          <w:b w:val="0"/>
          <w:i w:val="0"/>
        </w:rPr>
        <w:t xml:space="preserve">, inspect every page and submit through the S06 Moodle Assignment. Do not upload JSON drafts, ZIPs or full conversations. Read </w:t>
      </w:r>
      <w:r>
        <w:rPr>
          <w:rFonts w:ascii="Consolas" w:hAnsi="Consolas"/>
          <w:b w:val="0"/>
          <w:i w:val="0"/>
          <w:sz w:val="19"/>
        </w:rPr>
        <w:t>moodle.html</w:t>
      </w:r>
      <w:r>
        <w:rPr>
          <w:b w:val="0"/>
          <w:i w:val="0"/>
        </w:rPr>
        <w:t xml:space="preserve"> for the full procedure and </w:t>
      </w:r>
      <w:r>
        <w:rPr>
          <w:rFonts w:ascii="Consolas" w:hAnsi="Consolas"/>
          <w:b w:val="0"/>
          <w:i w:val="0"/>
          <w:sz w:val="19"/>
        </w:rPr>
        <w:t>criteria.html</w:t>
      </w:r>
      <w:r>
        <w:rPr>
          <w:b w:val="0"/>
          <w:i w:val="0"/>
        </w:rPr>
        <w:t xml:space="preserve"> for the ten-point rubric. There is no second C06 upload.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S06 v1.1.0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26B"/>
        <w:sz w:val="16"/>
      </w:rPr>
      <w:t>WEB TECHNOLOGIES 2026  |  S06  |  QUERY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B4B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B4B"/>
      <w:sz w:val="24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3B4B"/>
      <w:sz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173B4B"/>
      <w:spacing w:val="5"/>
      <w:kern w:val="28"/>
      <w:sz w:val="4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n-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GB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S06_STUDENT_GUIDE</dc:title>
  <dc:subject>S06 Query API</dc:subject>
  <dc:creator>Web Technologies teaching materials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