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Course 02 student handout</w:t>
      </w:r>
    </w:p>
    <w:p>
      <w:pPr>
        <w:pStyle w:val="Subtitle"/>
      </w:pPr>
      <w:r>
        <w:t>Web Technologies 2026  Course 02  English  v1.2.2 RC1</w:t>
      </w:r>
    </w:p>
    <w:p>
      <w:r>
        <w:t>Use this handout with the six canonical examples and the interactive presentation. The 60 minute core teaches you to explain an interface defect through its contract, mechanism, evidence and remaining uncertainty. Screens 25 to 29 and the offline laboratory are an optional 15 minute extension. No screenshot or automatic check certifies a whole product.</w:t>
      </w:r>
    </w:p>
    <w:p>
      <w:pPr>
        <w:pStyle w:val="Heading1"/>
      </w:pPr>
      <w:r>
        <w:t>What you should be able to explain</w:t>
      </w:r>
    </w:p>
    <w:p>
      <w:pPr>
        <w:pStyle w:val="ListBullet"/>
      </w:pPr>
      <w:r>
        <w:t>Identify a native control and show its name, description, group and state relationships in the DOM.</w:t>
      </w:r>
    </w:p>
    <w:p>
      <w:pPr>
        <w:pStyle w:val="ListBullet"/>
      </w:pPr>
      <w:r>
        <w:t>Predict the winning normal author declaration in the declared layer example and verify the computed value.</w:t>
      </w:r>
    </w:p>
    <w:p>
      <w:pPr>
        <w:pStyle w:val="ListBullet"/>
      </w:pPr>
      <w:r>
        <w:t>Calculate a border box and explain why intrinsic content can still create overflow.</w:t>
      </w:r>
    </w:p>
    <w:p>
      <w:pPr>
        <w:pStyle w:val="ListBullet"/>
      </w:pPr>
      <w:r>
        <w:t>Choose normal flow, Flexbox, Grid or an intentional overlay from the relationship it owns.</w:t>
      </w:r>
    </w:p>
    <w:p>
      <w:pPr>
        <w:pStyle w:val="ListBullet"/>
      </w:pPr>
      <w:r>
        <w:t>Test meaning, content and operation at a stated width, text size, content input and user preference.</w:t>
      </w:r>
    </w:p>
    <w:p>
      <w:pPr>
        <w:pStyle w:val="ListBullet"/>
      </w:pPr>
      <w:r>
        <w:t>Separate an observation from an inference and propose a check that could falsify an AI generated claim.</w:t>
      </w:r>
    </w:p>
    <w:p>
      <w:pPr>
        <w:pStyle w:val="Heading1"/>
      </w:pPr>
      <w:r>
        <w:t>Meaning and form relationships</w:t>
      </w:r>
    </w:p>
    <w:p>
      <w:r>
        <w:t>Open 04_CANONICAL_EXAMPLES_EN_GB/01-semantic-form-relationships/index.html. An associated label supplies a persistent name. aria-describedby connects supplementary instructions; it does not replace the name. fieldset and legend group the attendance choices. A native submit button has semantics and keyboard behaviour without a click only handler.</w:t>
      </w:r>
    </w:p>
    <w:p>
      <w:r>
        <w:t>Inspect the second, deliberately invalid email example. The supplied error state represents feedback after validation, rather than accusing the user while typing. aria-invalid="true" exposes the state; the linked email error explains how to correct it. The repaired state removes that error from aria-describedby and hides its message. Changing ARIA alone does not make the email valid. The example changes both the value and the relationship.</w:t>
      </w:r>
    </w:p>
    <w:p>
      <w:r>
        <w:t>Check yourself: if the label is removed but the placeholder remains, which relationship is lost? If aria-invalid is present without explanatory text, what can a user still be missing? Inspect the DOM and then use Tab, Shift+Tab and radio arrow keys; each observation supports a different claim. Use fictional data only.</w:t>
      </w:r>
    </w:p>
    <w:p>
      <w:pPr>
        <w:pStyle w:val="Heading1"/>
      </w:pPr>
      <w:r>
        <w:t>The cascade within the declared scope</w:t>
      </w:r>
    </w:p>
    <w:p>
      <w:r>
        <w:t>Open example 02-cascade-layer-order. Both competing rules are normal author declarations in named layers. The declared order is legacy then theme. The later theme layer wins before selector specificity is compared, so its class selector can beat an ID selector in legacy. Inspect matched rules and the computed colour; do not infer contrast compliance from the winning colour alone.</w:t>
      </w:r>
    </w:p>
    <w:p>
      <w:pPr>
        <w:spacing w:after="160"/>
      </w:pPr>
      <w:r>
        <w:rPr>
          <w:rFonts w:ascii="Consolas" w:hAnsi="Consolas"/>
          <w:sz w:val="20"/>
        </w:rPr>
        <w:t>@layer legacy, theme;</w:t>
        <w:br/>
        <w:t>@layer legacy { #claim .status { color: #9a3412; } }</w:t>
        <w:br/>
        <w:t>@layer theme { .status { color: #0f766e; } }</w:t>
      </w:r>
    </w:p>
    <w:p>
      <w:r>
        <w:t>Check yourself: swap the layer order and predict the winner before refreshing. Then remove the layers and explain why the reasoning changes. Important declarations, inline styles, other origins, animations and transitions require additional cascade stages; the short example does not cover them.</w:t>
      </w:r>
    </w:p>
    <w:p>
      <w:pPr>
        <w:pStyle w:val="Heading1"/>
      </w:pPr>
      <w:r>
        <w:t>Box sizing and pressure from content</w:t>
      </w:r>
    </w:p>
    <w:p>
      <w:r>
        <w:t>Open example 03-box-model-sizing. For width 240px, padding 16px on each side and border 2px on each side, content-box produces an outer width of 276px. border-box keeps the specified outer width at 240px and reduces the available content space. Margins lie outside this calculation. border-box does not wrap a long IBAN or override a track minimum.</w:t>
      </w:r>
    </w:p>
    <w:p>
      <w:r>
        <w:t>Open example 04-intrinsic-card-grid. The supplied minmax(min(100%, 14rem), 1fr) rule keeps the track minimum within the available width. The minimum track size and container width determine how many tracks fit. Related techniques such as minmax(0, 1fr), a flexible item with min-width:0 and an appropriate wrapping rule address different parts of content pressure; they are not all present in this example. Test long text and unbroken tokens separately. Hiding page overflow can conceal content without repairing its cause.</w:t>
      </w:r>
    </w:p>
    <w:p>
      <w:r>
        <w:t>Check yourself: replace one title with a long fictional supplier name, then with one unbroken token. Record container clientWidth and scrollWidth from the same element. Explain which constraint owns the observed overflow. A zero difference is insufficient if a descendant uses clipping.</w:t>
      </w:r>
    </w:p>
    <w:p>
      <w:pPr>
        <w:pStyle w:val="Heading1"/>
      </w:pPr>
      <w:r>
        <w:t>Distribution and intentional overlay</w:t>
      </w:r>
    </w:p>
    <w:p>
      <w:r>
        <w:t>Open example 06-flex-positioned-container. Flexbox distributes the toolbar along one main axis. The card uses position:relative to establish the containing block for the absolutely positioned badge. The card retains its normal flow space. The absolute badge leaves normal flow, so the card does not reserve space for it automatically. Relative and sticky positioning retain flow participation; absolute and fixed positioning do not. An overlay needs a deliberate containing block and a check for obscured content.</w:t>
      </w:r>
    </w:p>
    <w:p>
      <w:r>
        <w:t>Check yourself: remove position:relative from the card and predict the badge anchor. Inspect its rendered position before explaining the cause. Use source order for a meaningful reading sequence. CSS order can rearrange pixels while leaving sequential keyboard navigation based on a different order; it cannot prove a usable reading path.</w:t>
      </w:r>
    </w:p>
    <w:p>
      <w:pPr>
        <w:pStyle w:val="Heading1"/>
      </w:pPr>
      <w:r>
        <w:t>Keyboard focus and motion preference</w:t>
      </w:r>
    </w:p>
    <w:p>
      <w:r>
        <w:t>Open example 05-focus-and-motion-preferences. Follow the entire route with Tab and Shift+Tab and activate native controls with Enter or Space as appropriate. A programmatic focus() call checks a selected state, not the whole Tab order. Check that the indicator is visible, unobscured and attached to the current control. Inspect the DOM for role and name separately.</w:t>
      </w:r>
    </w:p>
    <w:p>
      <w:r>
        <w:t>Enable the operating system preference or emulate prefers-reduced-motion:reduce in developer tools, refresh the example and repeat keyboard navigation. The CSS removes the transition while the native button remains available. This example has no save service. The presentation’s simulation button overrides the demonstration rule; it does not change the actual operating system preference. Record which route you used.</w:t>
      </w:r>
    </w:p>
    <w:p>
      <w:pPr>
        <w:pStyle w:val="Heading1"/>
      </w:pPr>
      <w:r>
        <w:t>A small evidence record</w:t>
      </w:r>
    </w:p>
    <w:p>
      <w:r>
        <w:t>Before changing code, write the predicted result and the mechanism. After the check, record the exact file, input, observed result and limit. For example: “At an iframe viewport measured as 320 CSS px, the long supplier name wrapped and the Approve action remained reachable. This covers the supplied component and content only; native browser zoom and the full keyboard route are still separate checks.”</w:t>
      </w:r>
    </w:p>
    <w:p>
      <w:pPr>
        <w:pStyle w:val="ListBullet"/>
      </w:pPr>
      <w:r>
        <w:t>Meaning: DOM relationships and accessibility tree. Limit: no proof of keyboard operation.</w:t>
      </w:r>
    </w:p>
    <w:p>
      <w:pPr>
        <w:pStyle w:val="ListBullet"/>
      </w:pPr>
      <w:r>
        <w:t>Cascade: winning declaration and computed value. Limit: no proof of adequate contrast.</w:t>
      </w:r>
    </w:p>
    <w:p>
      <w:pPr>
        <w:pStyle w:val="ListBullet"/>
      </w:pPr>
      <w:r>
        <w:t>Geometry: same element clientWidth and scrollWidth plus visibility of content. Limit: only the tested state.</w:t>
      </w:r>
    </w:p>
    <w:p>
      <w:pPr>
        <w:pStyle w:val="ListBullet"/>
      </w:pPr>
      <w:r>
        <w:t>Interaction: observed keyboard route and activation. Limit: only the controls and states traversed.</w:t>
      </w:r>
    </w:p>
    <w:p>
      <w:pPr>
        <w:pStyle w:val="Heading1"/>
      </w:pPr>
      <w:r>
        <w:t>Offline extension and honest measurements</w:t>
      </w:r>
    </w:p>
    <w:p>
      <w:r>
        <w:t>Open 03_ACTIVITIES/INTERFACE_AUDIT_LAB_COURSE_02_v1.1_EN_GB.html. The width selector sets an actual nested iframe viewport and prints requested and measured widths. The host may need horizontal scrolling to display a wide iframe. Text size 200% changes CSS font size inside the example; it is not native browser zoom. The long content control replaces the supplier text with a longer supplied input. The reduced motion control simulates a rule override; the diagnosis also prints the actual media preference.</w:t>
      </w:r>
    </w:p>
    <w:p>
      <w:r>
        <w:t>For a native zoom check, use the browser menu to set 200%, record that value yourself and test operation, reading and clipping. Reset zoom afterwards. Keep these results separate from the font size simulation. The automatic diagnosis reports bounded observations and deliberately does not produce an overall accessibility verdict.</w:t>
      </w:r>
    </w:p>
    <w:p>
      <w:pPr>
        <w:pStyle w:val="Heading1"/>
      </w:pPr>
      <w:r>
        <w:t>Exit ticket</w:t>
      </w:r>
    </w:p>
    <w:p>
      <w:r>
        <w:t>Choose one interface defect. Name the contract it breaks, the declaration or relationship that causes it, one discriminating observation and one claim that remains unverified. If an AI supplied the repair, retain the relevant diff and challenge one plausible but false explanation. You may use the supplied flawed response offline. Do not report execution that you have not performed.</w:t>
      </w:r>
    </w:p>
    <w:p>
      <w:pPr>
        <w:pStyle w:val="Heading1"/>
      </w:pPr>
      <w:r>
        <w:t>Primary references and reading route</w:t>
      </w:r>
    </w:p>
    <w:p>
      <w:r>
        <w:t>Read the named section when you need to verify a claim. These documents define a broader scope than this class. The exact 1/2/4 column checkpoints used in Seminar 02 are a local teaching contract, not a requirement in WCAG or CSS Grid.</w:t>
      </w:r>
    </w:p>
    <w:p>
      <w:r>
        <w:t>WHATWG HTML Living Standard. Forms and the label element: names, grouping and native submission.</w:t>
        <w:br/>
        <w:t>https://html.spec.whatwg.org/multipage/forms.html</w:t>
      </w:r>
    </w:p>
    <w:p>
      <w:r>
        <w:t>CSS Cascading and Inheritance Level 5. Cascade sorting and layer order. Our normal author declaration example deliberately omits other origins and importance levels.</w:t>
        <w:br/>
        <w:t>https://www.w3.org/TR/css-cascade-5/</w:t>
      </w:r>
    </w:p>
    <w:p>
      <w:r>
        <w:t>CSS Box Sizing Level 3. Box sizing and intrinsic sizes. Compare the content box with the border box.</w:t>
        <w:br/>
        <w:t>https://www.w3.org/TR/css-sizing-3/</w:t>
      </w:r>
    </w:p>
    <w:p>
      <w:r>
        <w:t>CSS Grid Layout Level 2. Track sizing and the minmax function in example 04.</w:t>
        <w:br/>
        <w:t>https://www.w3.org/TR/css-grid-2/</w:t>
      </w:r>
    </w:p>
    <w:p>
      <w:r>
        <w:t>CSS Positioned Layout Level 3. Positioning schemes: relative and sticky retain flow participation; absolute and fixed do not. This is a specification draft, not a WCAG requirement.</w:t>
        <w:br/>
        <w:t>https://www.w3.org/TR/css-position-3/</w:t>
      </w:r>
    </w:p>
    <w:p>
      <w:r>
        <w:t>WCAG 2.2. Relevant success criteria: 1.3.1 relationships, 1.4.4 text resize, 1.4.10 reflow, 2.1.1 keyboard, 2.4.7 focus visible, 3.3.1 error identification and 3.3.2 labels or instructions. The examples are not a complete conformance audit.</w:t>
        <w:br/>
        <w:t>https://www.w3.org/TR/WCAG22/</w:t>
      </w:r>
    </w:p>
    <w:p>
      <w:r>
        <w:t>Media Queries Level 5. The prefers-reduced-motion feature exposes a user preference. Removing the demonstration transition alone does not establish WCAG conformance.</w:t>
        <w:br/>
        <w:t>https://www.w3.org/TR/mediaqueries-5/</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02 student handout</dc:title>
  <dc:subject/>
  <dc:creator>WebTech ASE</dc:creator>
  <cp:keywords/>
  <dc:description/>
  <cp:lastModifiedBy/>
  <cp:revision>1</cp:revision>
  <dcterms:created xsi:type="dcterms:W3CDTF">2013-12-23T23:15:00Z</dcterms:created>
  <dcterms:modified xsi:type="dcterms:W3CDTF">2013-12-23T23:15:00Z</dcterms:modified>
  <cp:category/>
</cp:coreProperties>
</file>