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S04 — work from a prediction to a justified conclusion</w:t>
      </w:r>
    </w:p>
    <w:p>
      <w:r>
        <w:t>The central question is not whether a dashboard appears eventually. It is whether your controller starts independent work at the right boundary, reaches the required state and returns a result that your evidence supports. Work individually and record the prediction before the run, including a wrong prediction when it teaches you something.</w:t>
      </w:r>
    </w:p>
    <w:p>
      <w:pPr>
        <w:pStyle w:val="Heading1"/>
      </w:pPr>
      <w:r>
        <w:t>Before the meeting</w:t>
      </w:r>
    </w:p>
    <w:p>
      <w:r>
        <w:t>Prepare the existing Day 0 runtime and read the launch guide. No installation is hidden inside the 60-minute seminar. Read the P01 public contract and the three supplied JSON files. Open the evidence form and enter the observed environment. UNKNOWN is honest; copying a reference version as a measured one is not.</w:t>
      </w:r>
    </w:p>
    <w:p>
      <w:pPr>
        <w:pStyle w:val="Heading1"/>
      </w:pPr>
      <w:r>
        <w:t>The eight-step core</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60"/>
            </w:pPr>
            <w:r>
              <w:rPr>
                <w:sz w:val="18"/>
              </w:rPr>
              <w:t>Minutes</w:t>
            </w:r>
          </w:p>
        </w:tc>
        <w:tc>
          <w:tcPr>
            <w:tcW w:type="dxa" w:w="3213"/>
          </w:tcPr>
          <w:p>
            <w:pPr>
              <w:spacing w:after="60"/>
            </w:pPr>
            <w:r>
              <w:rPr>
                <w:sz w:val="18"/>
              </w:rPr>
              <w:t>Work</w:t>
            </w:r>
          </w:p>
        </w:tc>
        <w:tc>
          <w:tcPr>
            <w:tcW w:type="dxa" w:w="3213"/>
          </w:tcPr>
          <w:p>
            <w:pPr>
              <w:spacing w:after="60"/>
            </w:pPr>
            <w:r>
              <w:rPr>
                <w:sz w:val="18"/>
              </w:rPr>
              <w:t>Evidence</w:t>
            </w:r>
          </w:p>
        </w:tc>
      </w:tr>
      <w:tr>
        <w:tc>
          <w:tcPr>
            <w:tcW w:type="dxa" w:w="3213"/>
          </w:tcPr>
          <w:p>
            <w:pPr>
              <w:spacing w:after="60"/>
            </w:pPr>
            <w:r>
              <w:rPr>
                <w:sz w:val="18"/>
              </w:rPr>
              <w:t>00–06</w:t>
            </w:r>
          </w:p>
        </w:tc>
        <w:tc>
          <w:tcPr>
            <w:tcW w:type="dxa" w:w="3213"/>
          </w:tcPr>
          <w:p>
            <w:pPr>
              <w:spacing w:after="60"/>
            </w:pPr>
            <w:r>
              <w:rPr>
                <w:sz w:val="18"/>
              </w:rPr>
              <w:t>Identify the kit and predict the supplied result</w:t>
            </w:r>
          </w:p>
        </w:tc>
        <w:tc>
          <w:tcPr>
            <w:tcW w:type="dxa" w:w="3213"/>
          </w:tcPr>
          <w:p>
            <w:pPr>
              <w:spacing w:after="60"/>
            </w:pPr>
            <w:r>
              <w:rPr>
                <w:sz w:val="18"/>
              </w:rPr>
              <w:t>Version/ID, fixture, initial prediction</w:t>
            </w:r>
          </w:p>
        </w:tc>
      </w:tr>
      <w:tr>
        <w:tc>
          <w:tcPr>
            <w:tcW w:type="dxa" w:w="3213"/>
          </w:tcPr>
          <w:p>
            <w:pPr>
              <w:spacing w:after="60"/>
            </w:pPr>
            <w:r>
              <w:rPr>
                <w:sz w:val="18"/>
              </w:rPr>
              <w:t>06–12</w:t>
            </w:r>
          </w:p>
        </w:tc>
        <w:tc>
          <w:tcPr>
            <w:tcW w:type="dxa" w:w="3213"/>
          </w:tcPr>
          <w:p>
            <w:pPr>
              <w:spacing w:after="60"/>
            </w:pPr>
            <w:r>
              <w:rPr>
                <w:sz w:val="18"/>
              </w:rPr>
              <w:t>Read the edit boundary and initial checks</w:t>
            </w:r>
          </w:p>
        </w:tc>
        <w:tc>
          <w:tcPr>
            <w:tcW w:type="dxa" w:w="3213"/>
          </w:tcPr>
          <w:p>
            <w:pPr>
              <w:spacing w:after="60"/>
            </w:pPr>
            <w:r>
              <w:rPr>
                <w:sz w:val="18"/>
              </w:rPr>
              <w:t>Named baseline/objective/regression states</w:t>
            </w:r>
          </w:p>
        </w:tc>
      </w:tr>
      <w:tr>
        <w:tc>
          <w:tcPr>
            <w:tcW w:type="dxa" w:w="3213"/>
          </w:tcPr>
          <w:p>
            <w:pPr>
              <w:spacing w:after="60"/>
            </w:pPr>
            <w:r>
              <w:rPr>
                <w:sz w:val="18"/>
              </w:rPr>
              <w:t>12–27</w:t>
            </w:r>
          </w:p>
        </w:tc>
        <w:tc>
          <w:tcPr>
            <w:tcW w:type="dxa" w:w="3213"/>
          </w:tcPr>
          <w:p>
            <w:pPr>
              <w:spacing w:after="60"/>
            </w:pPr>
            <w:r>
              <w:rPr>
                <w:sz w:val="18"/>
              </w:rPr>
              <w:t>Implement acquisition and independent initiation</w:t>
            </w:r>
          </w:p>
        </w:tc>
        <w:tc>
          <w:tcPr>
            <w:tcW w:type="dxa" w:w="3213"/>
          </w:tcPr>
          <w:p>
            <w:pPr>
              <w:spacing w:after="60"/>
            </w:pPr>
            <w:r>
              <w:rPr>
                <w:sz w:val="18"/>
              </w:rPr>
              <w:t>Which calls exist before a response resolves</w:t>
            </w:r>
          </w:p>
        </w:tc>
      </w:tr>
      <w:tr>
        <w:tc>
          <w:tcPr>
            <w:tcW w:type="dxa" w:w="3213"/>
          </w:tcPr>
          <w:p>
            <w:pPr>
              <w:spacing w:after="60"/>
            </w:pPr>
            <w:r>
              <w:rPr>
                <w:sz w:val="18"/>
              </w:rPr>
              <w:t>27–38</w:t>
            </w:r>
          </w:p>
        </w:tc>
        <w:tc>
          <w:tcPr>
            <w:tcW w:type="dxa" w:w="3213"/>
          </w:tcPr>
          <w:p>
            <w:pPr>
              <w:spacing w:after="60"/>
            </w:pPr>
            <w:r>
              <w:rPr>
                <w:sz w:val="18"/>
              </w:rPr>
              <w:t>Build and return the final model</w:t>
            </w:r>
          </w:p>
        </w:tc>
        <w:tc>
          <w:tcPr>
            <w:tcW w:type="dxa" w:w="3213"/>
          </w:tcPr>
          <w:p>
            <w:pPr>
              <w:spacing w:after="60"/>
            </w:pPr>
            <w:r>
              <w:rPr>
                <w:sz w:val="18"/>
              </w:rPr>
              <w:t>Loading/final model and comparison</w:t>
            </w:r>
          </w:p>
        </w:tc>
      </w:tr>
      <w:tr>
        <w:tc>
          <w:tcPr>
            <w:tcW w:type="dxa" w:w="3213"/>
          </w:tcPr>
          <w:p>
            <w:pPr>
              <w:spacing w:after="60"/>
            </w:pPr>
            <w:r>
              <w:rPr>
                <w:sz w:val="18"/>
              </w:rPr>
              <w:t>38–47</w:t>
            </w:r>
          </w:p>
        </w:tc>
        <w:tc>
          <w:tcPr>
            <w:tcW w:type="dxa" w:w="3213"/>
          </w:tcPr>
          <w:p>
            <w:pPr>
              <w:spacing w:after="60"/>
            </w:pPr>
            <w:r>
              <w:rPr>
                <w:sz w:val="18"/>
              </w:rPr>
              <w:t>Test a discriminating failure and UI transition</w:t>
            </w:r>
          </w:p>
        </w:tc>
        <w:tc>
          <w:tcPr>
            <w:tcW w:type="dxa" w:w="3213"/>
          </w:tcPr>
          <w:p>
            <w:pPr>
              <w:spacing w:after="60"/>
            </w:pPr>
            <w:r>
              <w:rPr>
                <w:sz w:val="18"/>
              </w:rPr>
              <w:t>Exact scenario, observed class and limit</w:t>
            </w:r>
          </w:p>
        </w:tc>
      </w:tr>
      <w:tr>
        <w:tc>
          <w:tcPr>
            <w:tcW w:type="dxa" w:w="3213"/>
          </w:tcPr>
          <w:p>
            <w:pPr>
              <w:spacing w:after="60"/>
            </w:pPr>
            <w:r>
              <w:rPr>
                <w:sz w:val="18"/>
              </w:rPr>
              <w:t>47–53</w:t>
            </w:r>
          </w:p>
        </w:tc>
        <w:tc>
          <w:tcPr>
            <w:tcW w:type="dxa" w:w="3213"/>
          </w:tcPr>
          <w:p>
            <w:pPr>
              <w:spacing w:after="60"/>
            </w:pPr>
            <w:r>
              <w:rPr>
                <w:sz w:val="18"/>
              </w:rPr>
              <w:t>Review one Gemini claim independently</w:t>
            </w:r>
          </w:p>
        </w:tc>
        <w:tc>
          <w:tcPr>
            <w:tcW w:type="dxa" w:w="3213"/>
          </w:tcPr>
          <w:p>
            <w:pPr>
              <w:spacing w:after="60"/>
            </w:pPr>
            <w:r>
              <w:rPr>
                <w:sz w:val="18"/>
              </w:rPr>
              <w:t>Prompt, claim, check, verdict and limit</w:t>
            </w:r>
          </w:p>
        </w:tc>
      </w:tr>
      <w:tr>
        <w:tc>
          <w:tcPr>
            <w:tcW w:type="dxa" w:w="3213"/>
          </w:tcPr>
          <w:p>
            <w:pPr>
              <w:spacing w:after="60"/>
            </w:pPr>
            <w:r>
              <w:rPr>
                <w:sz w:val="18"/>
              </w:rPr>
              <w:t>53–57</w:t>
            </w:r>
          </w:p>
        </w:tc>
        <w:tc>
          <w:tcPr>
            <w:tcW w:type="dxa" w:w="3213"/>
          </w:tcPr>
          <w:p>
            <w:pPr>
              <w:spacing w:after="60"/>
            </w:pPr>
            <w:r>
              <w:rPr>
                <w:sz w:val="18"/>
              </w:rPr>
              <w:t>Launch the required P02 portfolio</w:t>
            </w:r>
          </w:p>
        </w:tc>
        <w:tc>
          <w:tcPr>
            <w:tcW w:type="dxa" w:w="3213"/>
          </w:tcPr>
          <w:p>
            <w:pPr>
              <w:spacing w:after="60"/>
            </w:pPr>
            <w:r>
              <w:rPr>
                <w:sz w:val="18"/>
              </w:rPr>
              <w:t>Event prediction and identified edit file</w:t>
            </w:r>
          </w:p>
        </w:tc>
      </w:tr>
      <w:tr>
        <w:tc>
          <w:tcPr>
            <w:tcW w:type="dxa" w:w="3213"/>
          </w:tcPr>
          <w:p>
            <w:pPr>
              <w:spacing w:after="60"/>
            </w:pPr>
            <w:r>
              <w:rPr>
                <w:sz w:val="18"/>
              </w:rPr>
              <w:t>57–60</w:t>
            </w:r>
          </w:p>
        </w:tc>
        <w:tc>
          <w:tcPr>
            <w:tcW w:type="dxa" w:w="3213"/>
          </w:tcPr>
          <w:p>
            <w:pPr>
              <w:spacing w:after="60"/>
            </w:pPr>
            <w:r>
              <w:rPr>
                <w:sz w:val="18"/>
              </w:rPr>
              <w:t>Save the true draft and stop</w:t>
            </w:r>
          </w:p>
        </w:tc>
        <w:tc>
          <w:tcPr>
            <w:tcW w:type="dxa" w:w="3213"/>
          </w:tcPr>
          <w:p>
            <w:pPr>
              <w:spacing w:after="60"/>
            </w:pPr>
            <w:r>
              <w:rPr>
                <w:sz w:val="18"/>
              </w:rPr>
              <w:t>Outstanding work and next minimum check</w:t>
            </w:r>
          </w:p>
        </w:tc>
      </w:tr>
    </w:tbl>
    <w:p>
      <w:pPr>
        <w:spacing w:after="20"/>
      </w:pPr>
    </w:p>
    <w:p>
      <w:pPr>
        <w:pStyle w:val="Heading1"/>
      </w:pPr>
      <w:r>
        <w:t>E1: preserve the population you actually counted</w:t>
      </w:r>
    </w:p>
    <w:p>
      <w:r>
        <w:t>Predict the profile, open/total task counts and notices from the supplied browser files. A canonical objective test uses a smaller fixture. Name the fixture in every count. Run your implementation, compare the actual final model and explain a disagreement without overwriting the original prediction.</w:t>
      </w:r>
    </w:p>
    <w:p>
      <w:pPr>
        <w:pStyle w:val="Heading1"/>
      </w:pPr>
      <w:r>
        <w:t>E2: distinguish initiation from completion</w:t>
      </w:r>
    </w:p>
    <w:p>
      <w:r>
        <w:t>The deferred observer records which request functions were called before releasing its controlled responses. It then releases work in a deliberately different order. Use its request list, release/completion list and rendered models to explain what the controller establishes. This is injected evidence, not a Network timing trace. It does not show that work runs on three processor threads or that failure cancels the other requests.</w:t>
      </w:r>
    </w:p>
    <w:p>
      <w:pPr>
        <w:pStyle w:val="Heading1"/>
      </w:pPr>
      <w:r>
        <w:t>E3: locate one failure boundary</w:t>
      </w:r>
    </w:p>
    <w:p>
      <w:r>
        <w:t>Predict the result before running transport, HTTP or parse scenarios. A request rejection has no successful response object. An HTTP error has a response that your policy must classify. Parsing can fail after a successful status. Record the actual error model and the exact action that produced it. The server's missing-tasks and malformed-tasks options change responses without modifying protected files.</w:t>
      </w:r>
    </w:p>
    <w:p>
      <w:pPr>
        <w:pStyle w:val="Heading1"/>
      </w:pPr>
      <w:r>
        <w:t>E4: reconcile browser and controller evidence</w:t>
      </w:r>
    </w:p>
    <w:p>
      <w:r>
        <w:t>Use the printed loopback URL and inspect actual requests, DOM state and console. Do not label a Node fake as a browser run. On a fast local response, loading may be too brief to see unaided; the documented delay is a labelled teaching intervention. A screenshot is useful only with its URL, action, scenario and interpretation. Never present a fixed expected trace as an observation of your edited file.</w:t>
      </w:r>
    </w:p>
    <w:p>
      <w:pPr>
        <w:pStyle w:val="Heading1"/>
      </w:pPr>
      <w:r>
        <w:t>E5: one bounded Gemini review</w:t>
      </w:r>
    </w:p>
    <w:p>
      <w:r>
        <w:t>Use GEMINI_PROMPT.txt with a sanitised claim, not an entire repository. Record the relevant prompt, the single claim and an independent check. ACCEPTED, REJECTED, PARTIALLY ACCEPTED and UNKNOWN are all legitimate evidence-based verdicts. Agreement with an AI response is not the objective. SYNTHETIC_OFFLINE_CLAIM.txt is practice only and must never be attributed to a real Gemini conversation.</w:t>
      </w:r>
    </w:p>
    <w:p>
      <w:pPr>
        <w:pStyle w:val="Heading1"/>
      </w:pPr>
      <w:r>
        <w:t>What the test labels establish</w:t>
      </w:r>
    </w:p>
    <w:p>
      <w:r>
        <w:t>Initial checks identify the known starter gap; complete checks assess the named bounded behaviour. A parse error, timeout, runtime guard or missing command is not an expected objective assertion. P02/P03 raw starter exceptions remain separate from the derived assertion-first route. The canonical fixtures and extra checks overlap; multiple executions do not create independent new coverage.</w:t>
      </w:r>
    </w:p>
    <w:p>
      <w:pPr>
        <w:pStyle w:val="Heading1"/>
      </w:pPr>
      <w:r>
        <w:t>The minute-60 stop</w:t>
      </w:r>
    </w:p>
    <w:p>
      <w:r>
        <w:t>Save a JSON draft. A student with an incomplete implementation records the real current failure and a next check. Required P02, delayed browser evidence or unavailable Gemini remain explicit. The final PDF is submitted after the separate portfolio window, not automatically at minute 60. A complete report of an unsuccessful implementation can be assessed honestly; it is not a passing grade merely because all form fields are filled.</w:t>
      </w:r>
    </w:p>
    <w:p>
      <w:pPr>
        <w:pStyle w:val="Heading1"/>
      </w:pPr>
      <w:r>
        <w:t>Further reading and limits</w:t>
      </w:r>
    </w:p>
    <w:p>
      <w:r>
        <w:t>The public contracts preserve the canonical project requirements. MDN's fetch and event documentation supports the distinction between HTTP classification and promise rejection and between target and currentTarget. Node's test documentation supports explicit TAP output. These external references explain mechanisms; the supplied project files define the assessed scope. Detailed links and provenance are in SOURCES.md.</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S04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S04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S04 — Multi-source Data Dashboard</dc:title>
  <dc:subject>TEHNOLOGII WEB 2026 — Week 04</dc:subject>
  <dc:creator/>
  <cp:keywords/>
  <dc:description/>
  <cp:lastModifiedBy/>
  <cp:revision>1</cp:revision>
  <dcterms:created xsi:type="dcterms:W3CDTF">2013-12-23T23:15:00Z</dcterms:created>
  <dcterms:modified xsi:type="dcterms:W3CDTF">2013-12-23T23:15:00Z</dcterms:modified>
  <cp:category/>
</cp:coreProperties>
</file>