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b/>
        </w:rPr>
        <w:t>Pregătire şi transfer — Cursul 2</w:t>
      </w:r>
    </w:p>
    <w:p>
      <w:r>
        <w:rPr>
          <w:b/>
          <w:color w:val="536069"/>
        </w:rPr>
        <w:t>Pod spre U02: JavaScript pentru citirea şi modificarea programelor</w:t>
      </w:r>
    </w:p>
    <w:p>
      <w:r>
        <w:rPr>
          <w:i/>
        </w:rPr>
        <w:t>TEHNOLOGII WEB 2026 · ediţia RO · v1.1 · 26 septembrie 2026</w:t>
      </w:r>
    </w:p>
    <w:p>
      <w:r/>
    </w:p>
    <w:p>
      <w:pPr>
        <w:pStyle w:val="Heading1"/>
      </w:pPr>
      <w:r>
        <w:t>De ce urmează U02?</w:t>
      </w:r>
    </w:p>
    <w:p>
      <w:r>
        <w:t>HTML şi CSS definesc semnificaţia şi constrângerile prezentării. U02 va introduce citirea unui program JavaScript, urmărirea datelor şi modificarea controlată a comportamentului. Acest material corectează explicit vechea listă de lecturi U04 care trimitea direct spre Node/Express.</w:t>
      </w:r>
    </w:p>
    <w:p>
      <w:pPr>
        <w:pStyle w:val="Heading1"/>
      </w:pPr>
      <w:r>
        <w:t>Sarcină scurtă</w:t>
      </w:r>
    </w:p>
    <w:p>
      <w:pPr>
        <w:pStyle w:val="ListNumber"/>
      </w:pPr>
      <w:r>
        <w:t>Alegeţi un control din interfaţa de decont.</w:t>
      </w:r>
    </w:p>
    <w:p>
      <w:pPr>
        <w:pStyle w:val="ListNumber"/>
      </w:pPr>
      <w:r>
        <w:t>Scrieţi starea sa iniţială şi evenimentul care o poate schimba.</w:t>
      </w:r>
    </w:p>
    <w:p>
      <w:pPr>
        <w:pStyle w:val="ListNumber"/>
      </w:pPr>
      <w:r>
        <w:t>Separaţi ce aparţine HTML-ului, CSS-ului şi comportamentului JavaScript.</w:t>
      </w:r>
    </w:p>
    <w:p>
      <w:pPr>
        <w:pStyle w:val="ListNumber"/>
      </w:pPr>
      <w:r>
        <w:t>Formulaţi o întrebare de verificat prin citirea codului, fără a executa programul.</w:t>
      </w:r>
    </w:p>
    <w:p>
      <w:pPr>
        <w:pStyle w:val="Heading1"/>
      </w:pPr>
      <w:r>
        <w:t>Prompt Gemini opţional</w:t>
      </w:r>
    </w:p>
    <w:p>
      <w:r>
        <w:t>Explică fragmentul JavaScript furnizat fără să inventezi execuţia. Pentru fiecare afirmaţie indică linia de cod, clasifică afirmaţia OBSERVATĂ ÎN SURSĂ / INFERATĂ / NECUNOSCUTĂ şi propune o singură verificare.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82"/>
      </w:tblGrid>
      <w:tr>
        <w:trPr>
          <w:tblHeader w:val="true"/>
        </w:trPr>
        <w:tc>
          <w:tcPr>
            <w:tcW w:type="dxa" w:w="10482"/>
            <w:shd w:fill="FFF7ED"/>
          </w:tcPr>
          <w:p>
            <w:r>
              <w:rPr>
                <w:b/>
              </w:rPr>
              <w:t xml:space="preserve">Protecţia datelor: </w:t>
            </w:r>
            <w:r>
              <w:t>Nu trimiteţi date personale, tokenuri, cod privat sau informaţii instituţionale către un LLM extern.</w:t>
            </w:r>
          </w:p>
        </w:tc>
      </w:tr>
    </w:tbl>
    <w:p>
      <w:pPr>
        <w:pStyle w:val="Heading1"/>
      </w:pPr>
      <w:r>
        <w:t>Extensie opţională de transfer</w:t>
      </w:r>
    </w:p>
    <w:p>
      <w:r>
        <w:t>Alegeţi un defect din autopsia interfeţei şi scrieţi o funcţie JavaScript imaginară care îl detectează. Nu implementaţi funcţia; definiţi numai intrarea, ieşirea şi un contraexemplu.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</w:trPr>
        <w:tc>
          <w:tcPr>
            <w:tcW w:type="dxa" w:w="5241"/>
          </w:tcPr>
          <w:p>
            <w:r>
              <w:rPr>
                <w:b/>
              </w:rPr>
              <w:t>Câmp</w:t>
            </w:r>
          </w:p>
        </w:tc>
        <w:tc>
          <w:tcPr>
            <w:tcW w:type="dxa" w:w="5241"/>
          </w:tcPr>
          <w:p>
            <w:r>
              <w:rPr>
                <w:b/>
              </w:rPr>
              <w:t>Răspuns</w:t>
            </w:r>
          </w:p>
        </w:tc>
      </w:tr>
      <w:tr>
        <w:tc>
          <w:tcPr>
            <w:tcW w:type="dxa" w:w="5241"/>
          </w:tcPr>
          <w:p>
            <w:r>
              <w:t>Intrare</w:t>
            </w:r>
          </w:p>
        </w:tc>
        <w:tc>
          <w:tcPr>
            <w:tcW w:type="dxa" w:w="5241"/>
          </w:tcPr>
          <w:p>
            <w:r/>
          </w:p>
        </w:tc>
      </w:tr>
      <w:tr>
        <w:tc>
          <w:tcPr>
            <w:tcW w:type="dxa" w:w="5241"/>
          </w:tcPr>
          <w:p>
            <w:r>
              <w:t>Ieşire</w:t>
            </w:r>
          </w:p>
        </w:tc>
        <w:tc>
          <w:tcPr>
            <w:tcW w:type="dxa" w:w="5241"/>
          </w:tcPr>
          <w:p>
            <w:r/>
          </w:p>
        </w:tc>
      </w:tr>
      <w:tr>
        <w:tc>
          <w:tcPr>
            <w:tcW w:type="dxa" w:w="5241"/>
          </w:tcPr>
          <w:p>
            <w:r>
              <w:t>Contraexemplu</w:t>
            </w:r>
          </w:p>
        </w:tc>
        <w:tc>
          <w:tcPr>
            <w:tcW w:type="dxa" w:w="5241"/>
          </w:tcPr>
          <w:p>
            <w:r/>
          </w:p>
        </w:tc>
      </w:tr>
      <w:tr>
        <w:tc>
          <w:tcPr>
            <w:tcW w:type="dxa" w:w="5241"/>
          </w:tcPr>
          <w:p>
            <w:r>
              <w:t>Dovadă necesară</w:t>
            </w:r>
          </w:p>
        </w:tc>
        <w:tc>
          <w:tcPr>
            <w:tcW w:type="dxa" w:w="5241"/>
          </w:tcPr>
          <w:p>
            <w:r/>
          </w:p>
        </w:tc>
      </w:tr>
    </w:tbl>
    <w:sectPr w:rsidR="00FC693F" w:rsidRPr="0006063C" w:rsidSect="00034616">
      <w:footerReference w:type="default" r:id="rId9"/>
      <w:headerReference w:type="default" r:id="rId10"/>
      <w:pgSz w:w="12240" w:h="15840"/>
      <w:pgMar w:top="822" w:right="879" w:bottom="765" w:left="8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TEHNOLOGII WEB 2026 · C02 v1.1 · RO · </w:t>
    </w: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 w:eastAsia="Liberation San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0F766E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C2410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6D28D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 w:eastAsia="Liberation Sans"/>
      <w:color w:val="1A252A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Pregătire şi transfer — Cursul 2</dc:title>
  <dc:subject>C02 — Semantic HTML, CSS, responsive UI and accessibility</dc:subject>
  <dc:creator>TEHNOLOGII WEB 2026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ro-RO</dc:language>
</cp:coreProperties>
</file>