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C03 — Preparation and Transfer</w:t>
      </w:r>
    </w:p>
    <w:p>
      <w:r>
        <w:t xml:space="preserve">RC10 current classroom transfer</w:t>
      </w:r>
    </w:p>
    <w:p>
      <w:r>
        <w:t xml:space="preserve">Current S03 classroom transfer</w:t>
      </w:r>
    </w:p>
    <w:p>
      <w:r>
        <w:t xml:space="preserve">Complete every listed microproject individually in class. These are bounded tasks, not completion of the historical full applications.</w:t>
      </w:r>
    </w:p>
    <w:p>
      <w:r>
        <w:t xml:space="preserve">P01 — Fresh task summary — editable path from the seminar package root: CLASSROOM_RC6/targets/p01.mjs</w:t>
      </w:r>
    </w:p>
    <w:p>
      <w:r>
        <w:t xml:space="preserve">P02 — Declarative leaf rule — editable path from the seminar package root: CLASSROOM_RC6/targets/p02.mjs</w:t>
      </w:r>
    </w:p>
    <w:p>
      <w:r>
        <w:t xml:space="preserve">P03 — Defensive event normaliser — editable path from the seminar package root: CLASSROOM_RC6/targets/p03.mjs</w:t>
      </w:r>
    </w:p>
    <w:p>
      <w:r>
        <w:t xml:space="preserve">Current entry: ../../../../ENTRY/S03.html</w:t>
      </w:r>
    </w:p>
    <w:p>
      <w:r>
        <w:t xml:space="preserve">Step-by-step tutorial: ../../../../TUTORIALS/S03.html</w:t>
      </w:r>
    </w:p>
    <w:p>
      <w:r>
        <w:t xml:space="preserve">Current evidence form: ../../../S03/WEBTECH_ASE_S03_EN_GB_v1.2.2_RC6/CLASSROOM_RC6/EVIDENCE_FORM.html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Subtitle"/>
      </w:pPr>
      <w:r>
        <w:t>Year 3 · Semester 1 · Economic Informatics</w:t>
      </w:r>
    </w:p>
    <w:p>
      <w:pPr>
        <w:pStyle w:val="Heading1"/>
      </w:pPr>
      <w:r>
        <w:t>Before C03: prepare a prediction, not a solution</w:t>
      </w:r>
    </w:p>
    <w:p>
      <w:r>
        <w:t>Audience: Year 3, Semester 1, Economic Informatics. Read the boundary before looking for the answer. This preparation supports the 60-minute course; it is not a second assignment and it does not require a framework installation.</w:t>
      </w:r>
    </w:p>
    <w:p>
      <w:r>
        <w:t>Open index.html from the extracted public package. Read the launch guide for your platform, then locate course.html, lab.html and the handout. HTML teaching works from local files with no server or package installation. The five canonical examples are optional Node executions in the already provisioned Day 0 environment.</w:t>
      </w:r>
    </w:p>
    <w:p>
      <w:r>
        <w:t>Recall the seven primitive types and the special results of typeof for null, arrays and functions. Explain why a familiar brace-and-loop syntax does not supply fixed domain types. Read canonical/01-language-shape/README.md and inspect example.js before running it.</w:t>
      </w:r>
    </w:p>
    <w:p>
      <w:r>
        <w:t>Record four predictions: Boolean("false"), 0 + "3", whether Object.hasOwn finds an inherited field and whether [...rows][0] can refer to the original record. Write a reason for each. A record of uncertainty is preferable to a copied explanation.</w:t>
      </w:r>
    </w:p>
    <w:p>
      <w:r>
        <w:t>Read the small supplier fixture on handout page 4. Mark the record object and its nested supplier as separate identities. Predict what changes under an alias, an array copy, an object copy and a copy of the changed nested path.</w:t>
      </w:r>
    </w:p>
    <w:p>
      <w:r>
        <w:t>No live Gemini access is needed for the course opening. Where an online tool is later used, submit only a sanitised snippet and one narrow question. Do not upload student details, real business records, passwords or institutional credentials.</w:t>
      </w:r>
    </w:p>
    <w:p>
      <w:r>
        <w:t xml:space="preserve">Historical full-application context; implementation is optional advanced reference, outside the current seminar task allocation. Current task IDs, titles and editable paths appear in the RC10 transfer section of this document. The C03 package deliberately does not include the completed S03 transformer or a seminar answer key. Preparation means understanding types, shapes and evidence, not obtaining the assessed implementation.</w:t>
      </w:r>
    </w:p>
    <w:p>
      <w:r>
        <w:br w:type="page"/>
      </w:r>
    </w:p>
    <w:p>
      <w:pPr>
        <w:pStyle w:val="Heading1"/>
      </w:pPr>
      <w:r>
        <w:t>During C03: the 60-minute route</w:t>
      </w:r>
    </w:p>
    <w:tbl>
      <w:tblPr>
        <w:tblStyle w:val="LightShading-Accent1"/>
        <w:tblW w:type="auto" w:w="0"/>
        <w:tblLayout w:type="fixed"/>
        <w:tblLook w:firstColumn="1" w:firstRow="1" w:lastColumn="0" w:lastRow="0" w:noHBand="0" w:noVBand="1" w:val="04A0"/>
      </w:tblPr>
      <w:tblGrid>
        <w:gridCol w:w="4876"/>
        <w:gridCol w:w="4876"/>
      </w:tblGrid>
      <w:tr>
        <w:trPr>
          <w:tblHeader/>
          <w:cantSplit/>
        </w:trPr>
        <w:tc>
          <w:tcPr>
            <w:tcW w:type="dxa" w:w="4876"/>
          </w:tcPr>
          <w:p>
            <w:pPr>
              <w:spacing w:after="80" w:before="80"/>
            </w:pPr>
            <w:r>
              <w:rPr>
                <w:sz w:val="21"/>
              </w:rPr>
              <w:t>Minutes</w:t>
            </w:r>
          </w:p>
        </w:tc>
        <w:tc>
          <w:tcPr>
            <w:tcW w:type="dxa" w:w="4876"/>
          </w:tcPr>
          <w:p>
            <w:pPr>
              <w:spacing w:after="80" w:before="80"/>
            </w:pPr>
            <w:r>
              <w:rPr>
                <w:sz w:val="21"/>
              </w:rPr>
              <w:t>Evidence to retain</w:t>
            </w:r>
          </w:p>
        </w:tc>
      </w:tr>
      <w:tr>
        <w:trPr>
          <w:cantSplit/>
        </w:trPr>
        <w:tc>
          <w:tcPr>
            <w:tcW w:type="dxa" w:w="4876"/>
          </w:tcPr>
          <w:p>
            <w:pPr>
              <w:spacing w:after="80" w:before="80"/>
            </w:pPr>
            <w:r>
              <w:rPr>
                <w:sz w:val="21"/>
              </w:rPr>
              <w:t>00–05</w:t>
            </w:r>
          </w:p>
        </w:tc>
        <w:tc>
          <w:tcPr>
            <w:tcW w:type="dxa" w:w="4876"/>
          </w:tcPr>
          <w:p>
            <w:pPr>
              <w:spacing w:after="80" w:before="80"/>
            </w:pPr>
            <w:r>
              <w:rPr>
                <w:sz w:val="21"/>
              </w:rPr>
              <w:t>State the boundary and identify a relevant lens.</w:t>
            </w:r>
          </w:p>
        </w:tc>
      </w:tr>
      <w:tr>
        <w:trPr>
          <w:cantSplit/>
        </w:trPr>
        <w:tc>
          <w:tcPr>
            <w:tcW w:type="dxa" w:w="4876"/>
          </w:tcPr>
          <w:p>
            <w:pPr>
              <w:spacing w:after="80" w:before="80"/>
            </w:pPr>
            <w:r>
              <w:rPr>
                <w:sz w:val="21"/>
              </w:rPr>
              <w:t>05–14</w:t>
            </w:r>
          </w:p>
        </w:tc>
        <w:tc>
          <w:tcPr>
            <w:tcW w:type="dxa" w:w="4876"/>
          </w:tcPr>
          <w:p>
            <w:pPr>
              <w:spacing w:after="80" w:before="80"/>
            </w:pPr>
            <w:r>
              <w:rPr>
                <w:sz w:val="21"/>
              </w:rPr>
              <w:t>Predict a type result and an own-property result.</w:t>
            </w:r>
          </w:p>
        </w:tc>
      </w:tr>
      <w:tr>
        <w:trPr>
          <w:cantSplit/>
        </w:trPr>
        <w:tc>
          <w:tcPr>
            <w:tcW w:type="dxa" w:w="4876"/>
          </w:tcPr>
          <w:p>
            <w:pPr>
              <w:spacing w:after="80" w:before="80"/>
            </w:pPr>
            <w:r>
              <w:rPr>
                <w:sz w:val="21"/>
              </w:rPr>
              <w:t>14–24</w:t>
            </w:r>
          </w:p>
        </w:tc>
        <w:tc>
          <w:tcPr>
            <w:tcW w:type="dxa" w:w="4876"/>
          </w:tcPr>
          <w:p>
            <w:pPr>
              <w:spacing w:after="80" w:before="80"/>
            </w:pPr>
            <w:r>
              <w:rPr>
                <w:sz w:val="21"/>
              </w:rPr>
              <w:t>Trace an actual nested identity and a bounded update.</w:t>
            </w:r>
          </w:p>
        </w:tc>
      </w:tr>
      <w:tr>
        <w:trPr>
          <w:cantSplit/>
        </w:trPr>
        <w:tc>
          <w:tcPr>
            <w:tcW w:type="dxa" w:w="4876"/>
          </w:tcPr>
          <w:p>
            <w:pPr>
              <w:spacing w:after="80" w:before="80"/>
            </w:pPr>
            <w:r>
              <w:rPr>
                <w:sz w:val="21"/>
              </w:rPr>
              <w:t>24–32</w:t>
            </w:r>
          </w:p>
        </w:tc>
        <w:tc>
          <w:tcPr>
            <w:tcW w:type="dxa" w:w="4876"/>
          </w:tcPr>
          <w:p>
            <w:pPr>
              <w:spacing w:after="80" w:before="80"/>
            </w:pPr>
            <w:r>
              <w:rPr>
                <w:sz w:val="21"/>
              </w:rPr>
              <w:t>Separate receiver from captured configuration.</w:t>
            </w:r>
          </w:p>
        </w:tc>
      </w:tr>
      <w:tr>
        <w:trPr>
          <w:cantSplit/>
        </w:trPr>
        <w:tc>
          <w:tcPr>
            <w:tcW w:type="dxa" w:w="4876"/>
          </w:tcPr>
          <w:p>
            <w:pPr>
              <w:spacing w:after="80" w:before="80"/>
            </w:pPr>
            <w:r>
              <w:rPr>
                <w:sz w:val="21"/>
              </w:rPr>
              <w:t>32–46</w:t>
            </w:r>
          </w:p>
        </w:tc>
        <w:tc>
          <w:tcPr>
            <w:tcW w:type="dxa" w:w="4876"/>
          </w:tcPr>
          <w:p>
            <w:pPr>
              <w:spacing w:after="80" w:before="80"/>
            </w:pPr>
            <w:r>
              <w:rPr>
                <w:sz w:val="21"/>
              </w:rPr>
              <w:t>Name stage populations and the accumulator contract.</w:t>
            </w:r>
          </w:p>
        </w:tc>
      </w:tr>
      <w:tr>
        <w:trPr>
          <w:cantSplit/>
        </w:trPr>
        <w:tc>
          <w:tcPr>
            <w:tcW w:type="dxa" w:w="4876"/>
          </w:tcPr>
          <w:p>
            <w:pPr>
              <w:spacing w:after="80" w:before="80"/>
            </w:pPr>
            <w:r>
              <w:rPr>
                <w:sz w:val="21"/>
              </w:rPr>
              <w:t>46–56</w:t>
            </w:r>
          </w:p>
        </w:tc>
        <w:tc>
          <w:tcPr>
            <w:tcW w:type="dxa" w:w="4876"/>
          </w:tcPr>
          <w:p>
            <w:pPr>
              <w:spacing w:after="80" w:before="80"/>
            </w:pPr>
            <w:r>
              <w:rPr>
                <w:sz w:val="21"/>
              </w:rPr>
              <w:t>Disprove or limit a generated-code claim.</w:t>
            </w:r>
          </w:p>
        </w:tc>
      </w:tr>
      <w:tr>
        <w:trPr>
          <w:cantSplit/>
        </w:trPr>
        <w:tc>
          <w:tcPr>
            <w:tcW w:type="dxa" w:w="4876"/>
          </w:tcPr>
          <w:p>
            <w:pPr>
              <w:spacing w:after="80" w:before="80"/>
            </w:pPr>
            <w:r>
              <w:rPr>
                <w:sz w:val="21"/>
              </w:rPr>
              <w:t>56–60</w:t>
            </w:r>
          </w:p>
        </w:tc>
        <w:tc>
          <w:tcPr>
            <w:tcW w:type="dxa" w:w="4876"/>
          </w:tcPr>
          <w:p>
            <w:pPr>
              <w:spacing w:after="80" w:before="80"/>
            </w:pPr>
            <w:r>
              <w:rPr>
                <w:sz w:val="21"/>
              </w:rPr>
              <w:t>Close with one observed result and one limitation.</w:t>
            </w:r>
          </w:p>
        </w:tc>
      </w:tr>
    </w:tbl>
    <w:p>
      <w:pPr>
        <w:spacing w:after="0"/>
      </w:pPr>
    </w:p>
    <w:p>
      <w:r>
        <w:t>Use the Previous and Next buttons, arrow keys or the labelled screen selector. Arrow keys are left to a field or other control while you edit or operate it. Home and End navigate the core route when focus is outside an interactive control. The final screen is the complete minute-60 stop, not a pointer to another compulsory slide.</w:t>
      </w:r>
    </w:p>
    <w:p>
      <w:r>
        <w:t>The text-size control ranges from 40% to 160% and resets to 100%. At large settings, scroll the screen content rather than hiding the text. Reading mode exposes the full route in order. Print uses a readable document layout. These are separate from your browser’s own zoom setting.</w:t>
      </w:r>
    </w:p>
    <w:p>
      <w:r>
        <w:t xml:space="preserve">Historical full-application context; implementation is optional advanced reference, outside the current seminar task allocation. Current task IDs, titles and editable paths appear in the RC10 transfer section of this document. Write a prediction before choosing Reveal explanation. An explanation is a worked reference, not an executed test. In the laboratory, Run demonstration evaluates only its named fixture and operation. It does not inspect your S03 implementation and does not award marks.</w:t>
      </w:r>
    </w:p>
    <w:p>
      <w:r>
        <w:t xml:space="preserve">Historical full-application context; implementation is optional advanced reference, outside the current seminar task allocation. Current task IDs, titles and editable paths appear in the RC10 transfer section of this document. The laboratory keeps a current-session log in memory. Use Export observations to save JSON; closing or reloading without export loses unsaved entries. Import accepts only the laboratory’s bounded schema. Imported text is displayed as text, never evaluated as code. The form is practice support, not the S03 Moodle form.</w:t>
      </w:r>
    </w:p>
    <w:p>
      <w:r>
        <w:t>At minute 60 save the relevant note. An unavailable tool or an unexplained discrepancy remains visible. Neither the presentation nor the laboratory may turn missing evidence into a synthetic PASS.</w:t>
      </w:r>
    </w:p>
    <w:p>
      <w:r>
        <w:br w:type="page"/>
      </w:r>
    </w:p>
    <w:p>
      <w:pPr>
        <w:pStyle w:val="Heading1"/>
      </w:pPr>
      <w:r>
        <w:t>After C03: bounded consolidation and optional depth</w:t>
      </w:r>
    </w:p>
    <w:p>
      <w:r>
        <w:t>First revisit a prediction that changed. State the original expectation, the actual result, the language rule and a new input that could falsify your revised explanation. This creates a transferable reasoning step rather than a memorised answer.</w:t>
      </w:r>
    </w:p>
    <w:p>
      <w:r>
        <w:t>Run or inspect canonical examples 02 and 03. For lookup, record the own-property result and the returned value. For copying, compare array, record and nested-object identities separately. Do not alter the preserved sources. Put any new experiments in a separate working file outside canonical/.</w:t>
      </w:r>
    </w:p>
    <w:p>
      <w:r>
        <w:t>Inspect canonical examples 04 and 05. Identify the factory’s configuration checks, the callback’s preconditions and the reducer’s initial value. Trace why the flawed audit result is "035". Keep the supplied RangeError and TypeError categories distinct.</w:t>
      </w:r>
    </w:p>
    <w:p>
      <w:r>
        <w:t>Optional depth: explain an inherited setter or non-writable property as a counterexample to an unqualified assignment rule. Explain why a method cannot automatically be replaced by an arrow function. Inspect where class methods reside. These are extensions of the reasoning model, not additional minutes inside the core.</w:t>
      </w:r>
    </w:p>
    <w:p>
      <w:r>
        <w:t>Optional built-in methods: compare filter, map, some and every using a two-record fixture and an empty array. State the callback contract and the empty-input result. Keep a method’s return value separate from any side effects of its callback.</w:t>
      </w:r>
    </w:p>
    <w:p>
      <w:r>
        <w:t xml:space="preserve">Historical full-application context; implementation is optional advanced reference, outside the current seminar task allocation. Current task IDs, titles and editable paths appear in the RC10 transfer section of this document. Prepare for the separate S03 package: P01 is central, P03 is the required later portfolio and P02 is optional advanced work. The course source’s older timing and the tutorial’s optional wording do not override the current local weekly mapping. No course-specific Moodle submission is requested.</w:t>
      </w:r>
    </w:p>
    <w:p>
      <w:r>
        <w:t>The following week introduces modules, promises, events and fetch. Its reading list is context for later work, not a licence to add those mechanisms to this synchronous lesson. Source basis and verified documentation are listed in SOURCES.md.</w:t>
      </w:r>
    </w:p>
    <w:sectPr w:rsidR="00FC693F" w:rsidRPr="0006063C" w:rsidSect="00034616">
      <w:headerReference w:type="default" r:id="rId9"/>
      <w:footerReference w:type="default" r:id="rId10"/>
      <w:pgSz w:w="11906" w:h="16838"/>
      <w:pgMar w:top="992" w:right="1077" w:bottom="935"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C03 · 60-minute core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rial" w:hAnsi="Arial"/>
        <w:color w:val="4B6170"/>
        <w:sz w:val="16"/>
      </w:rPr>
      <w:t>WEBTECH ASE  |  C03  |  STUDENT MATERIAL  |  EN-GB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3"/>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2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2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2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C03 — Preparation and Transfer</dc:title>
  <dc:subject>TEHNOLOGII WEB 2026 — C03</dc:subject>
  <dc:creator/>
  <cp:keywords>C03, EN-GB, teaching</cp:keywords>
  <dc:description/>
  <cp:lastModifiedBy/>
  <cp:revision>1</cp:revision>
  <dcterms:created xsi:type="dcterms:W3CDTF">2026-09-28T00:00:00Z</dcterms:created>
  <dcterms:modified xsi:type="dcterms:W3CDTF">2026-09-28T00:00:00Z</dcterms:modified>
  <cp:category/>
  <dc:language>en-GB</dc:language>
</cp:coreProperties>
</file>