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C08 — Preparation and transfer</w:t>
      </w:r>
    </w:p>
    <w:p>
      <w:r>
        <w:t xml:space="preserve">RC10 current classroom transfer</w:t>
      </w:r>
    </w:p>
    <w:p>
      <w:r>
        <w:t xml:space="preserve">Current S08 classroom transfer</w:t>
      </w:r>
    </w:p>
    <w:p>
      <w:r>
        <w:t xml:space="preserve">Complete every listed microproject individually in class. These are bounded tasks, not completion of the historical full applications.</w:t>
      </w:r>
    </w:p>
    <w:p>
      <w:r>
        <w:t xml:space="preserve">P01 — Reading queue: immutable trimmed addition — editable path from the seminar package root: CLASSROOM_RC6/student/p01.mjs</w:t>
      </w:r>
    </w:p>
    <w:p>
      <w:r>
        <w:t xml:space="preserve">P02 — Component decomposition: derived capacity — editable path from the seminar package root: CLASSROOM_RC6/student/p02.mjs</w:t>
      </w:r>
    </w:p>
    <w:p>
      <w:r>
        <w:t xml:space="preserve">P03 — Effects: permission to publish — editable path from the seminar package root: CLASSROOM_RC6/student/p03.mjs</w:t>
      </w:r>
    </w:p>
    <w:p>
      <w:r>
        <w:t xml:space="preserve">Current entry: ../../../../ENTRY/S08.html</w:t>
      </w:r>
    </w:p>
    <w:p>
      <w:r>
        <w:t xml:space="preserve">Step-by-step tutorial: ../../../../TUTORIALS/S08.html</w:t>
      </w:r>
    </w:p>
    <w:p>
      <w:r>
        <w:t xml:space="preserve">Current evidence form: ../../../S08/WEBTECH_ASE_S08_EN_GB_v1.2.3_RC6/CLASSROOM_RC6/EVIDENCE_FORM.html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widowControl/>
      </w:pPr>
      <w:r>
        <w:rPr>
          <w:b/>
        </w:rPr>
        <w:t>Public learning companion | British English | WIP/PREVIEW</w:t>
      </w:r>
    </w:p>
    <w:p>
      <w:pPr>
        <w:pStyle w:val="Heading1"/>
        <w:widowControl/>
      </w:pPr>
      <w:r>
        <w:t>Before the meeting: a small ownership inventory</w:t>
      </w:r>
    </w:p>
    <w:p>
      <w:pPr>
        <w:widowControl/>
      </w:pPr>
      <w:r>
        <w:t>Use the supplied offline explanation without installing anything. From a familiar list interface, identify one persistent collection, one draft input, one derived count and one external system. Write a proposed owner for each. Then read handout sections 1–7 and 13–16. This is preparation for discussion, not a separately graded upload. The intended reading effort is a planning allowance, not a measured completion time for this cohort.</w:t>
      </w:r>
    </w:p>
    <w:tbl>
      <w:tblPr>
        <w:tblStyle w:val="LightShading-Accent1"/>
        <w:tblW w:type="auto" w:w="0"/>
        <w:tblLayout w:type="autofit"/>
        <w:tblLook w:firstColumn="1" w:firstRow="1" w:lastColumn="0" w:lastRow="0" w:noHBand="0" w:noVBand="1" w:val="04A0"/>
      </w:tblPr>
      <w:tblGrid>
        <w:gridCol w:w="2458"/>
        <w:gridCol w:w="2458"/>
        <w:gridCol w:w="2458"/>
        <w:gridCol w:w="2458"/>
      </w:tblGrid>
      <w:tr>
        <w:trPr>
          <w:tblHeader/>
          <w:cantSplit/>
        </w:trPr>
        <w:tc>
          <w:tcPr>
            <w:tcW w:type="dxa" w:w="2458"/>
          </w:tcPr>
          <w:p>
            <w:pPr>
              <w:spacing w:after="100" w:before="60"/>
            </w:pPr>
            <w:r>
              <w:rPr>
                <w:sz w:val="18"/>
              </w:rPr>
              <w:t>Value or behaviour</w:t>
            </w:r>
          </w:p>
        </w:tc>
        <w:tc>
          <w:tcPr>
            <w:tcW w:type="dxa" w:w="2458"/>
          </w:tcPr>
          <w:p>
            <w:pPr>
              <w:spacing w:after="100" w:before="60"/>
            </w:pPr>
            <w:r>
              <w:rPr>
                <w:sz w:val="18"/>
              </w:rPr>
              <w:t>Proposed owner</w:t>
            </w:r>
          </w:p>
        </w:tc>
        <w:tc>
          <w:tcPr>
            <w:tcW w:type="dxa" w:w="2458"/>
          </w:tcPr>
          <w:p>
            <w:pPr>
              <w:spacing w:after="100" w:before="60"/>
            </w:pPr>
            <w:r>
              <w:rPr>
                <w:sz w:val="18"/>
              </w:rPr>
              <w:t>Why this owner needs it</w:t>
            </w:r>
          </w:p>
        </w:tc>
        <w:tc>
          <w:tcPr>
            <w:tcW w:type="dxa" w:w="2458"/>
          </w:tcPr>
          <w:p>
            <w:pPr>
              <w:spacing w:after="100" w:before="60"/>
            </w:pPr>
            <w:r>
              <w:rPr>
                <w:sz w:val="18"/>
              </w:rPr>
              <w:t>What could contradict the choice?</w:t>
            </w:r>
          </w:p>
        </w:tc>
      </w:tr>
      <w:tr>
        <w:trPr>
          <w:cantSplit/>
        </w:trPr>
        <w:tc>
          <w:tcPr>
            <w:tcW w:type="dxa" w:w="2458"/>
          </w:tcPr>
          <w:p>
            <w:pPr>
              <w:spacing w:after="100" w:before="60"/>
            </w:pPr>
            <w:r>
              <w:rPr>
                <w:sz w:val="18"/>
              </w:rPr>
              <w:t>Collection of records</w:t>
            </w:r>
          </w:p>
        </w:tc>
        <w:tc>
          <w:tcPr>
            <w:tcW w:type="dxa" w:w="2458"/>
          </w:tcPr>
          <w:p>
            <w:pPr>
              <w:spacing w:after="100" w:before="60"/>
            </w:pPr>
            <w:r>
              <w:rPr>
                <w:sz w:val="18"/>
              </w:rPr>
              <w:t>Write your proposal</w:t>
            </w:r>
          </w:p>
        </w:tc>
        <w:tc>
          <w:tcPr>
            <w:tcW w:type="dxa" w:w="2458"/>
          </w:tcPr>
          <w:p>
            <w:pPr>
              <w:spacing w:after="100" w:before="60"/>
            </w:pPr>
            <w:r>
              <w:rPr>
                <w:sz w:val="18"/>
              </w:rPr>
              <w:t>Name its consumers</w:t>
            </w:r>
          </w:p>
        </w:tc>
        <w:tc>
          <w:tcPr>
            <w:tcW w:type="dxa" w:w="2458"/>
          </w:tcPr>
          <w:p>
            <w:pPr>
              <w:spacing w:after="100" w:before="60"/>
            </w:pPr>
            <w:r>
              <w:rPr>
                <w:sz w:val="18"/>
              </w:rPr>
              <w:t>Name a transition</w:t>
            </w:r>
          </w:p>
        </w:tc>
      </w:tr>
      <w:tr>
        <w:trPr>
          <w:cantSplit/>
        </w:trPr>
        <w:tc>
          <w:tcPr>
            <w:tcW w:type="dxa" w:w="2458"/>
          </w:tcPr>
          <w:p>
            <w:pPr>
              <w:spacing w:after="100" w:before="60"/>
            </w:pPr>
            <w:r>
              <w:rPr>
                <w:sz w:val="18"/>
              </w:rPr>
              <w:t>Draft input</w:t>
            </w:r>
          </w:p>
        </w:tc>
        <w:tc>
          <w:tcPr>
            <w:tcW w:type="dxa" w:w="2458"/>
          </w:tcPr>
          <w:p>
            <w:pPr>
              <w:spacing w:after="100" w:before="60"/>
            </w:pPr>
            <w:r>
              <w:rPr>
                <w:sz w:val="18"/>
              </w:rPr>
              <w:t>Write your proposal</w:t>
            </w:r>
          </w:p>
        </w:tc>
        <w:tc>
          <w:tcPr>
            <w:tcW w:type="dxa" w:w="2458"/>
          </w:tcPr>
          <w:p>
            <w:pPr>
              <w:spacing w:after="100" w:before="60"/>
            </w:pPr>
            <w:r>
              <w:rPr>
                <w:sz w:val="18"/>
              </w:rPr>
              <w:t>Explain its lifetime</w:t>
            </w:r>
          </w:p>
        </w:tc>
        <w:tc>
          <w:tcPr>
            <w:tcW w:type="dxa" w:w="2458"/>
          </w:tcPr>
          <w:p>
            <w:pPr>
              <w:spacing w:after="100" w:before="60"/>
            </w:pPr>
            <w:r>
              <w:rPr>
                <w:sz w:val="18"/>
              </w:rPr>
              <w:t>Name a reset condition</w:t>
            </w:r>
          </w:p>
        </w:tc>
      </w:tr>
      <w:tr>
        <w:trPr>
          <w:cantSplit/>
        </w:trPr>
        <w:tc>
          <w:tcPr>
            <w:tcW w:type="dxa" w:w="2458"/>
          </w:tcPr>
          <w:p>
            <w:pPr>
              <w:spacing w:after="100" w:before="60"/>
            </w:pPr>
            <w:r>
              <w:rPr>
                <w:sz w:val="18"/>
              </w:rPr>
              <w:t>Visible count</w:t>
            </w:r>
          </w:p>
        </w:tc>
        <w:tc>
          <w:tcPr>
            <w:tcW w:type="dxa" w:w="2458"/>
          </w:tcPr>
          <w:p>
            <w:pPr>
              <w:spacing w:after="100" w:before="60"/>
            </w:pPr>
            <w:r>
              <w:rPr>
                <w:sz w:val="18"/>
              </w:rPr>
              <w:t>State or calculation?</w:t>
            </w:r>
          </w:p>
        </w:tc>
        <w:tc>
          <w:tcPr>
            <w:tcW w:type="dxa" w:w="2458"/>
          </w:tcPr>
          <w:p>
            <w:pPr>
              <w:spacing w:after="100" w:before="60"/>
            </w:pPr>
            <w:r>
              <w:rPr>
                <w:sz w:val="18"/>
              </w:rPr>
              <w:t>Identify real inputs</w:t>
            </w:r>
          </w:p>
        </w:tc>
        <w:tc>
          <w:tcPr>
            <w:tcW w:type="dxa" w:w="2458"/>
          </w:tcPr>
          <w:p>
            <w:pPr>
              <w:spacing w:after="100" w:before="60"/>
            </w:pPr>
            <w:r>
              <w:rPr>
                <w:sz w:val="18"/>
              </w:rPr>
              <w:t>Look for a drift case</w:t>
            </w:r>
          </w:p>
        </w:tc>
      </w:tr>
      <w:tr>
        <w:trPr>
          <w:cantSplit/>
        </w:trPr>
        <w:tc>
          <w:tcPr>
            <w:tcW w:type="dxa" w:w="2458"/>
          </w:tcPr>
          <w:p>
            <w:pPr>
              <w:spacing w:after="100" w:before="60"/>
            </w:pPr>
            <w:r>
              <w:rPr>
                <w:sz w:val="18"/>
              </w:rPr>
              <w:t>Browser storage</w:t>
            </w:r>
          </w:p>
        </w:tc>
        <w:tc>
          <w:tcPr>
            <w:tcW w:type="dxa" w:w="2458"/>
          </w:tcPr>
          <w:p>
            <w:pPr>
              <w:spacing w:after="100" w:before="60"/>
            </w:pPr>
            <w:r>
              <w:rPr>
                <w:sz w:val="18"/>
              </w:rPr>
              <w:t>Name the synchronising component</w:t>
            </w:r>
          </w:p>
        </w:tc>
        <w:tc>
          <w:tcPr>
            <w:tcW w:type="dxa" w:w="2458"/>
          </w:tcPr>
          <w:p>
            <w:pPr>
              <w:spacing w:after="100" w:before="60"/>
            </w:pPr>
            <w:r>
              <w:rPr>
                <w:sz w:val="18"/>
              </w:rPr>
              <w:t>Separate UI from persistence</w:t>
            </w:r>
          </w:p>
        </w:tc>
        <w:tc>
          <w:tcPr>
            <w:tcW w:type="dxa" w:w="2458"/>
          </w:tcPr>
          <w:p>
            <w:pPr>
              <w:spacing w:after="100" w:before="60"/>
            </w:pPr>
            <w:r>
              <w:rPr>
                <w:sz w:val="18"/>
              </w:rPr>
              <w:t>Check a filter-only event</w:t>
            </w:r>
          </w:p>
        </w:tc>
      </w:tr>
    </w:tbl>
    <w:p>
      <w:pPr>
        <w:widowControl/>
        <w:spacing w:after="40"/>
      </w:pPr>
    </w:p>
    <w:p>
      <w:pPr>
        <w:pStyle w:val="Heading1"/>
        <w:widowControl/>
      </w:pPr>
      <w:r>
        <w:t>Preparation questions</w:t>
      </w:r>
    </w:p>
    <w:p>
      <w:pPr>
        <w:widowControl/>
      </w:pPr>
      <w:r>
        <w:t>What does a component return? Why is that not the same as appending a DOM node? Trace the topic title and summary through example 01. Predict what would change if a card receives new props. Do not call this prediction a browser observation.</w:t>
      </w:r>
    </w:p>
    <w:p>
      <w:pPr>
        <w:widowControl/>
      </w:pPr>
      <w:r>
        <w:t>In example 02, toggle task 1 in the supplied two-record fixture. Predict the new remaining count and identify which object identities should be preserved. Then change only the filter. Explain why the collection need not change. The laboratory T01/T02 uses a bounded model of this distinction; it does not run React.</w:t>
      </w:r>
    </w:p>
    <w:p>
      <w:pPr>
        <w:widowControl/>
      </w:pPr>
      <w:r>
        <w:t>Read SOURCE_NOTES.md before relying on an original README validation claim. The preserved example READMEs contain historical installation and validation statements. The current guide requires project-local locked dependencies, separate provisioning and accurate evidence labels. No installation or owner-side test is requested by this companion.</w:t>
      </w:r>
    </w:p>
    <w:p>
      <w:pPr>
        <w:widowControl/>
      </w:pPr>
      <w:r>
        <w:br w:type="page"/>
      </w:r>
    </w:p>
    <w:p>
      <w:pPr>
        <w:pStyle w:val="Heading1"/>
        <w:widowControl/>
      </w:pPr>
      <w:r>
        <w:t>During C08: write a prediction before a model result</w:t>
      </w:r>
    </w:p>
    <w:p>
      <w:pPr>
        <w:widowControl/>
      </w:pPr>
      <w:r>
        <w:t>Choose one laboratory scenario. Record its identifier and your prediction before selecting Run model. The input box checks only that you supplied text. It does not decide whether your prediction is correct. Compare the model output with the source contract and state which result would still need an actual React application.</w:t>
      </w:r>
    </w:p>
    <w:p>
      <w:pPr>
        <w:widowControl/>
      </w:pPr>
      <w:r>
        <w:t>Use three retrieval pauses in the lesson: after component ownership, after identity and before the minute-60 stop. Answer with a mechanism, a witness and a limitation rather than a memorised slogan. You are not required to expose an account, a complete AI conversation or private code in order to participate.</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Retrieval prompt</w:t>
            </w:r>
          </w:p>
        </w:tc>
        <w:tc>
          <w:tcPr>
            <w:tcW w:type="dxa" w:w="4915"/>
          </w:tcPr>
          <w:p>
            <w:pPr>
              <w:spacing w:after="100" w:before="60"/>
            </w:pPr>
            <w:r>
              <w:rPr>
                <w:sz w:val="18"/>
              </w:rPr>
              <w:t>Your response</w:t>
            </w:r>
          </w:p>
        </w:tc>
      </w:tr>
      <w:tr>
        <w:trPr>
          <w:cantSplit/>
        </w:trPr>
        <w:tc>
          <w:tcPr>
            <w:tcW w:type="dxa" w:w="4915"/>
          </w:tcPr>
          <w:p>
            <w:pPr>
              <w:spacing w:after="100" w:before="60"/>
            </w:pPr>
            <w:r>
              <w:rPr>
                <w:sz w:val="18"/>
              </w:rPr>
              <w:t>Who owns the collection and who owns one row's draft?</w:t>
            </w:r>
          </w:p>
        </w:tc>
        <w:tc>
          <w:tcPr>
            <w:tcW w:type="dxa" w:w="4915"/>
          </w:tcPr>
          <w:p>
            <w:pPr>
              <w:spacing w:after="100" w:before="60"/>
            </w:pPr>
            <w:r>
              <w:rPr>
                <w:sz w:val="18"/>
              </w:rPr>
              <w:t>Leave a short reason and a counterexample</w:t>
            </w:r>
          </w:p>
        </w:tc>
      </w:tr>
      <w:tr>
        <w:trPr>
          <w:cantSplit/>
        </w:trPr>
        <w:tc>
          <w:tcPr>
            <w:tcW w:type="dxa" w:w="4915"/>
          </w:tcPr>
          <w:p>
            <w:pPr>
              <w:spacing w:after="100" w:before="60"/>
            </w:pPr>
            <w:r>
              <w:rPr>
                <w:sz w:val="18"/>
              </w:rPr>
              <w:t>What changes when a new record is prepended?</w:t>
            </w:r>
          </w:p>
        </w:tc>
        <w:tc>
          <w:tcPr>
            <w:tcW w:type="dxa" w:w="4915"/>
          </w:tcPr>
          <w:p>
            <w:pPr>
              <w:spacing w:after="100" w:before="60"/>
            </w:pPr>
            <w:r>
              <w:rPr>
                <w:sz w:val="18"/>
              </w:rPr>
              <w:t>Separate a domain ID from a position</w:t>
            </w:r>
          </w:p>
        </w:tc>
      </w:tr>
      <w:tr>
        <w:trPr>
          <w:cantSplit/>
        </w:trPr>
        <w:tc>
          <w:tcPr>
            <w:tcW w:type="dxa" w:w="4915"/>
          </w:tcPr>
          <w:p>
            <w:pPr>
              <w:spacing w:after="100" w:before="60"/>
            </w:pPr>
            <w:r>
              <w:rPr>
                <w:sz w:val="18"/>
              </w:rPr>
              <w:t>Can an aborted operation still settle?</w:t>
            </w:r>
          </w:p>
        </w:tc>
        <w:tc>
          <w:tcPr>
            <w:tcW w:type="dxa" w:w="4915"/>
          </w:tcPr>
          <w:p>
            <w:pPr>
              <w:spacing w:after="100" w:before="60"/>
            </w:pPr>
            <w:r>
              <w:rPr>
                <w:sz w:val="18"/>
              </w:rPr>
              <w:t>Name the loader and publication policy</w:t>
            </w:r>
          </w:p>
        </w:tc>
      </w:tr>
      <w:tr>
        <w:trPr>
          <w:cantSplit/>
        </w:trPr>
        <w:tc>
          <w:tcPr>
            <w:tcW w:type="dxa" w:w="4915"/>
          </w:tcPr>
          <w:p>
            <w:pPr>
              <w:spacing w:after="100" w:before="60"/>
            </w:pPr>
            <w:r>
              <w:rPr>
                <w:sz w:val="18"/>
              </w:rPr>
              <w:t>What did a green build actually establish?</w:t>
            </w:r>
          </w:p>
        </w:tc>
        <w:tc>
          <w:tcPr>
            <w:tcW w:type="dxa" w:w="4915"/>
          </w:tcPr>
          <w:p>
            <w:pPr>
              <w:spacing w:after="100" w:before="60"/>
            </w:pPr>
            <w:r>
              <w:rPr>
                <w:sz w:val="18"/>
              </w:rPr>
              <w:t>State a narrower claim and an untested property</w:t>
            </w:r>
          </w:p>
        </w:tc>
      </w:tr>
    </w:tbl>
    <w:p>
      <w:pPr>
        <w:widowControl/>
        <w:spacing w:after="40"/>
      </w:pPr>
    </w:p>
    <w:p>
      <w:pPr>
        <w:pStyle w:val="Heading1"/>
        <w:widowControl/>
      </w:pPr>
      <w:r>
        <w:t>Bounded Gemini review</w:t>
      </w:r>
    </w:p>
    <w:p>
      <w:pPr>
        <w:widowControl/>
      </w:pPr>
      <w:r>
        <w:t xml:space="preserve">Historical full-application context; implementation is optional advanced reference, outside the current seminar task allocation. Current task IDs, titles and editable paths appear in the RC10 transfer section of this document. After your own prediction and inspection, use one sanitised claim or a short, non-assessed code fragment. GEMINI_PROMPT.txt supplies the prompt. Ask Gemini to identify assumptions and propose a falsifying observation; do not request a complete P01 or P03 implementation. Keep the relevant prompt and answer extract only.</w:t>
      </w:r>
    </w:p>
    <w:p>
      <w:pPr>
        <w:widowControl/>
      </w:pPr>
      <w:r>
        <w:t>Check the claim independently using the exact source, a bounded model or an actual authorised observation. Record ACCEPTED, REJECTED, PARTIALLY ACCEPTED or UNKNOWN with the reason, correction and limit. A synthetic practice claim is explicitly labelled in SYNTHETIC_CLAIM.txt and is not evidence of an actual Gemini exchange. If access is unavailable, record PENDING; do not fabricate a dialogue. Agreement with the tool is not the learning objective.</w:t>
      </w:r>
    </w:p>
    <w:p>
      <w:pPr>
        <w:widowControl/>
      </w:pPr>
      <w:r>
        <w:br w:type="page"/>
      </w:r>
    </w:p>
    <w:p>
      <w:pPr>
        <w:pStyle w:val="Heading1"/>
        <w:widowControl/>
      </w:pPr>
      <w:r>
        <w:t>After C08: complete the intended work, not a substitute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P01 Vanilla-to-React Reading Queue is the sole central implementation and remains complete: storage initialisation, add/toggle/remove, filters and counts, empty states, semantic controls and an owned persistence effect. Its assessed file is student/src/App.jsx in the later S08 package. Do not infer a new permission to modify the launcher, evidence or tests from this course handout.</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P03 State and Effect Debugging is required individual portfolio work. It includes diagnosis, the bounded student/src/SearchPanel.jsx patch and a causal explanation using timing evidence. P02 Component Decomposition remains optional. The concepts it illustrates are taught in C08; the complete P02 implementation is not silently required before P03.</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source estimates P01 alone at 55–65 minutes and P03 at 45–60 minutes. These estimates are not observations from this class. The planned 18-minute P01 implementation segment in S08 cannot guarantee complete projects, AI review and submission within the meeting. At minute 60 preserve a truthful draft. Finish P01 and the P03 portfolio before the deadline later set by the teacher. No deadline is invented here.</w:t>
      </w:r>
    </w:p>
    <w:p>
      <w:pPr>
        <w:pStyle w:val="Heading1"/>
        <w:widowControl/>
      </w:pPr>
      <w:r>
        <w:t>Evidence matrix for transfer</w:t>
      </w:r>
    </w:p>
    <w:tbl>
      <w:tblPr>
        <w:tblStyle w:val="LightShading-Accent1"/>
        <w:tblW w:type="auto" w:w="0"/>
        <w:tblLayout w:type="autofit"/>
        <w:tblLook w:firstColumn="1" w:firstRow="1" w:lastColumn="0" w:lastRow="0" w:noHBand="0" w:noVBand="1" w:val="04A0"/>
      </w:tblPr>
      <w:tblGrid>
        <w:gridCol w:w="3277"/>
        <w:gridCol w:w="3277"/>
        <w:gridCol w:w="3277"/>
      </w:tblGrid>
      <w:tr>
        <w:trPr>
          <w:tblHeader/>
          <w:cantSplit/>
        </w:trPr>
        <w:tc>
          <w:tcPr>
            <w:tcW w:type="dxa" w:w="3277"/>
          </w:tcPr>
          <w:p>
            <w:pPr>
              <w:spacing w:after="100" w:before="60"/>
            </w:pPr>
            <w:r>
              <w:rPr>
                <w:sz w:val="18"/>
              </w:rPr>
              <w:t>Question</w:t>
            </w:r>
          </w:p>
        </w:tc>
        <w:tc>
          <w:tcPr>
            <w:tcW w:type="dxa" w:w="3277"/>
          </w:tcPr>
          <w:p>
            <w:pPr>
              <w:spacing w:after="100" w:before="60"/>
            </w:pPr>
            <w:r>
              <w:rPr>
                <w:sz w:val="18"/>
              </w:rPr>
              <w:t>Minimum useful witness</w:t>
            </w:r>
          </w:p>
        </w:tc>
        <w:tc>
          <w:tcPr>
            <w:tcW w:type="dxa" w:w="3277"/>
          </w:tcPr>
          <w:p>
            <w:pPr>
              <w:spacing w:after="100" w:before="60"/>
            </w:pPr>
            <w:r>
              <w:rPr>
                <w:sz w:val="18"/>
              </w:rPr>
              <w:t>What the witness does not establish</w:t>
            </w:r>
          </w:p>
        </w:tc>
      </w:tr>
      <w:tr>
        <w:trPr>
          <w:cantSplit/>
        </w:trPr>
        <w:tc>
          <w:tcPr>
            <w:tcW w:type="dxa" w:w="3277"/>
          </w:tcPr>
          <w:p>
            <w:pPr>
              <w:spacing w:after="100" w:before="60"/>
            </w:pPr>
            <w:r>
              <w:rPr>
                <w:sz w:val="18"/>
              </w:rPr>
              <w:t>Is the task transition immutable?</w:t>
            </w:r>
          </w:p>
        </w:tc>
        <w:tc>
          <w:tcPr>
            <w:tcW w:type="dxa" w:w="3277"/>
          </w:tcPr>
          <w:p>
            <w:pPr>
              <w:spacing w:after="100" w:before="60"/>
            </w:pPr>
            <w:r>
              <w:rPr>
                <w:sz w:val="18"/>
              </w:rPr>
              <w:t>Input and next value plus retained/changed references</w:t>
            </w:r>
          </w:p>
        </w:tc>
        <w:tc>
          <w:tcPr>
            <w:tcW w:type="dxa" w:w="3277"/>
          </w:tcPr>
          <w:p>
            <w:pPr>
              <w:spacing w:after="100" w:before="60"/>
            </w:pPr>
            <w:r>
              <w:rPr>
                <w:sz w:val="18"/>
              </w:rPr>
              <w:t>React's actual DOM work</w:t>
            </w:r>
          </w:p>
        </w:tc>
      </w:tr>
      <w:tr>
        <w:trPr>
          <w:cantSplit/>
        </w:trPr>
        <w:tc>
          <w:tcPr>
            <w:tcW w:type="dxa" w:w="3277"/>
          </w:tcPr>
          <w:p>
            <w:pPr>
              <w:spacing w:after="100" w:before="60"/>
            </w:pPr>
            <w:r>
              <w:rPr>
                <w:sz w:val="18"/>
              </w:rPr>
              <w:t>Does filter-only work rewrite storage?</w:t>
            </w:r>
          </w:p>
        </w:tc>
        <w:tc>
          <w:tcPr>
            <w:tcW w:type="dxa" w:w="3277"/>
          </w:tcPr>
          <w:p>
            <w:pPr>
              <w:spacing w:after="100" w:before="60"/>
            </w:pPr>
            <w:r>
              <w:rPr>
                <w:sz w:val="18"/>
              </w:rPr>
              <w:t>Real call trace under stated mounting conditions</w:t>
            </w:r>
          </w:p>
        </w:tc>
        <w:tc>
          <w:tcPr>
            <w:tcW w:type="dxa" w:w="3277"/>
          </w:tcPr>
          <w:p>
            <w:pPr>
              <w:spacing w:after="100" w:before="60"/>
            </w:pPr>
            <w:r>
              <w:rPr>
                <w:sz w:val="18"/>
              </w:rPr>
              <w:t>Universal storage behaviour</w:t>
            </w:r>
          </w:p>
        </w:tc>
      </w:tr>
      <w:tr>
        <w:trPr>
          <w:cantSplit/>
        </w:trPr>
        <w:tc>
          <w:tcPr>
            <w:tcW w:type="dxa" w:w="3277"/>
          </w:tcPr>
          <w:p>
            <w:pPr>
              <w:spacing w:after="100" w:before="60"/>
            </w:pPr>
            <w:r>
              <w:rPr>
                <w:sz w:val="18"/>
              </w:rPr>
              <w:t>Does a draft follow its record?</w:t>
            </w:r>
          </w:p>
        </w:tc>
        <w:tc>
          <w:tcPr>
            <w:tcW w:type="dxa" w:w="3277"/>
          </w:tcPr>
          <w:p>
            <w:pPr>
              <w:spacing w:after="100" w:before="60"/>
            </w:pPr>
            <w:r>
              <w:rPr>
                <w:sz w:val="18"/>
              </w:rPr>
              <w:t>A real edit then prepend with IDs visible</w:t>
            </w:r>
          </w:p>
        </w:tc>
        <w:tc>
          <w:tcPr>
            <w:tcW w:type="dxa" w:w="3277"/>
          </w:tcPr>
          <w:p>
            <w:pPr>
              <w:spacing w:after="100" w:before="60"/>
            </w:pPr>
            <w:r>
              <w:rPr>
                <w:sz w:val="18"/>
              </w:rPr>
              <w:t>Correctness of all key choices</w:t>
            </w:r>
          </w:p>
        </w:tc>
      </w:tr>
      <w:tr>
        <w:trPr>
          <w:cantSplit/>
        </w:trPr>
        <w:tc>
          <w:tcPr>
            <w:tcW w:type="dxa" w:w="3277"/>
          </w:tcPr>
          <w:p>
            <w:pPr>
              <w:spacing w:after="100" w:before="60"/>
            </w:pPr>
            <w:r>
              <w:rPr>
                <w:sz w:val="18"/>
              </w:rPr>
              <w:t>Can late old work overwrite new work?</w:t>
            </w:r>
          </w:p>
        </w:tc>
        <w:tc>
          <w:tcPr>
            <w:tcW w:type="dxa" w:w="3277"/>
          </w:tcPr>
          <w:p>
            <w:pPr>
              <w:spacing w:after="100" w:before="60"/>
            </w:pPr>
            <w:r>
              <w:rPr>
                <w:sz w:val="18"/>
              </w:rPr>
              <w:t>Named loader, guards and settlement order</w:t>
            </w:r>
          </w:p>
        </w:tc>
        <w:tc>
          <w:tcPr>
            <w:tcW w:type="dxa" w:w="3277"/>
          </w:tcPr>
          <w:p>
            <w:pPr>
              <w:spacing w:after="100" w:before="60"/>
            </w:pPr>
            <w:r>
              <w:rPr>
                <w:sz w:val="18"/>
              </w:rPr>
              <w:t>Every network cancellation case</w:t>
            </w:r>
          </w:p>
        </w:tc>
      </w:tr>
      <w:tr>
        <w:trPr>
          <w:cantSplit/>
        </w:trPr>
        <w:tc>
          <w:tcPr>
            <w:tcW w:type="dxa" w:w="3277"/>
          </w:tcPr>
          <w:p>
            <w:pPr>
              <w:spacing w:after="100" w:before="60"/>
            </w:pPr>
            <w:r>
              <w:rPr>
                <w:sz w:val="18"/>
              </w:rPr>
              <w:t>Is add-after-reload identity safe?</w:t>
            </w:r>
          </w:p>
        </w:tc>
        <w:tc>
          <w:tcPr>
            <w:tcW w:type="dxa" w:w="3277"/>
          </w:tcPr>
          <w:p>
            <w:pPr>
              <w:spacing w:after="100" w:before="60"/>
            </w:pPr>
            <w:r>
              <w:rPr>
                <w:sz w:val="18"/>
              </w:rPr>
              <w:t>Exact persisted fixture and actual reload trace</w:t>
            </w:r>
          </w:p>
        </w:tc>
        <w:tc>
          <w:tcPr>
            <w:tcW w:type="dxa" w:w="3277"/>
          </w:tcPr>
          <w:p>
            <w:pPr>
              <w:spacing w:after="100" w:before="60"/>
            </w:pPr>
            <w:r>
              <w:rPr>
                <w:sz w:val="18"/>
              </w:rPr>
              <w:t>Security or global uniqueness</w:t>
            </w:r>
          </w:p>
        </w:tc>
      </w:tr>
    </w:tbl>
    <w:p>
      <w:pPr>
        <w:widowControl/>
        <w:spacing w:after="40"/>
      </w:pPr>
    </w:p>
    <w:p>
      <w:pPr>
        <w:widowControl/>
      </w:pPr>
      <w:r>
        <w:t xml:space="preserve">Historical full-application context; implementation is optional advanced reference, outside the current seminar task allocation. Current task IDs, titles and editable paths appear in the RC10 transfer section of this document. All eventual assessed evidence belongs with S08 in one final PDF. C08 creates no second Moodle Assignment. The evidence form and rubric are produced in the seminar phase, not supplied as completed observations by this document.</w:t>
      </w:r>
    </w:p>
    <w:p>
      <w:pPr>
        <w:widowControl/>
      </w:pPr>
      <w:r>
        <w:br w:type="page"/>
      </w:r>
    </w:p>
    <w:p>
      <w:pPr>
        <w:pStyle w:val="Heading1"/>
        <w:widowControl/>
      </w:pPr>
      <w:r>
        <w:t>Independent critique and next-unit reading</w:t>
      </w:r>
    </w:p>
    <w:p>
      <w:pPr>
        <w:widowControl/>
      </w:pPr>
      <w:r>
        <w:t>Write a short analysis of the claim: “A successful build and an aborted signal prove that the newest query is the only result that can appear.” Separate the two clauses. For each, identify the missing assumption and a witness that could contradict it. This is a synthetic exercise, not a quotation from an actual Gemini interaction.</w:t>
      </w:r>
    </w:p>
    <w:p>
      <w:pPr>
        <w:widowControl/>
      </w:pPr>
      <w:r>
        <w:t>For the optional decomposition route, propose five responsibilities and one behaviour that must remain unchanged. Do not require five components merely to satisfy a name count. The assessed contracts and test preservation are defined by the later S08 project kit.</w:t>
      </w:r>
    </w:p>
    <w:p>
      <w:pPr>
        <w:widowControl/>
      </w:pPr>
      <w:r>
        <w:t>The next canonical lecture introduces routing, forms and full-stack React. The preserved reading-list-next.md points to React Router routing/navigation, shared state and the Fetch API. These are forward readings only. They do not make Router, Redux, an API key or a full-stack application part of C08. The external resources require a network connection; the current lesson and laboratory do not.</w:t>
      </w:r>
    </w:p>
    <w:p>
      <w:pPr>
        <w:pStyle w:val="Heading1"/>
        <w:widowControl/>
      </w:pPr>
      <w:r>
        <w:t>Scope and sources</w:t>
      </w:r>
    </w:p>
    <w:p>
      <w:pPr>
        <w:widowControl/>
      </w:pPr>
      <w:r>
        <w:t>This companion derives from the canonical U08 lecture and project specifications, reconciled with the current 60-minute Week 08 architecture. SOURCE_NOTES.md records discrepancies. SOURCES.md lists the exact canonical identifiers and official technical documentation separately. Current documentation is not proof that the source-pinned versions have been installed or executed.</w:t>
      </w:r>
    </w:p>
    <w:p>
      <w:pPr>
        <w:widowControl/>
      </w:pPr>
      <w:r>
        <w:t>The offline laboratory is ordinary JavaScript, not a React runtime, Vite build, browser acceptance or a completed student experiment. Exported model text must retain its MODEL label. Actual environment, errors and incomplete checks must be recorded honestly. Nothing in this document authorises installation, publication, Moodle configuration or resumption of suspended technical tests.</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C08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C08_PREPARATION_TRANSFER</dc:title>
  <dc:subject>C08 — React with Vite</dc:subject>
  <dc:creator>Web Technologies teaching materials</dc:creator>
  <cp:keywords>C08;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