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02 student handout</w:t>
      </w:r>
    </w:p>
    <w:p>
      <w:r>
        <w:t xml:space="preserve">RC10 variation method</w:t>
      </w:r>
    </w:p>
    <w:p>
      <w:r>
        <w:t xml:space="preserve">Current collection identity: use PACKAGE_ID.txt at the top of the entire RC10 collection and its declared verification route. The C02 package identity is 06_AUDIT/PACKAGE_ID.txt, with 06_AUDIT/SHA256SUMS.txt, relative to the C02 package root; its unchanged package verifier uses those resealed controls. Retained source-copy indices and predecessor identities describe their frozen source snapshots. The C02 READMEs are explicit documentation derivatives; canonical example HTML, CSS and JavaScript remain protected original source. Do not repair a verification failure by editing manifests yourself.</w:t>
      </w:r>
    </w:p>
    <w:p>
      <w:r>
        <w:t xml:space="preserve">Preserve the extracted classroom collection and its canonical examples. Open examples in an ordinary browser; the historical headless command is outside the supported student route. Do not change browser security settings.</w:t>
      </w:r>
    </w:p>
    <w:p>
      <w:r>
        <w:t xml:space="preserve">For layer-order or layer-removal experiments: (1) use your file manager to create a separate WebTech_Work/C02_Variants folder outside the extracted collection; (2) copy the complete 02-cascade-layer-order example folder into it; (3) open only that copied folder in VS Code and edit its index.html; (4) open the copied index.html in an ordinary browser, inspect matched rules and computed values and compare with the untouched original; (5) keep or delete the disposable working copy without altering collection manifests or original files. Record that this is a variant, with the original source path and your actual change.</w:t>
      </w:r>
    </w:p>
    <w:p>
      <w:r>
        <w:t xml:space="preserve">The supplied canonical layer example initially reports color=rgb(23, 32, 51) and background=rgb(220, 233, 255). Reversing the named layer order makes the legacy declarations win; removing layers makes the more specific legacy selector win. Predict first and record the actual computed result. The presentation and handout use a separate illustrative colour fixture; do not substitute their colours for the canonical page.</w:t>
      </w:r>
    </w:p>
    <w:p>
      <w:r>
        <w:t xml:space="preserve">For a temporary position experiment, open the unchanged 06-flex-positioned-container page, open browser DevTools and select the .card element. In Styles, untick position:relative and inspect the badge. This change lasts only in the inspected page; reload to restore the original. Do not enable Local Overrides, save DevTools changes to disk or edit the protected collection. Use the same temporary checkbox method for single declarations such as flex-wrap or a focus rule. A missing declaration may be experimented with only in the separate disposable copy.</w:t>
      </w:r>
    </w:p>
    <w:p>
      <w:r>
        <w:t xml:space="preserve">An unavailable browser or unperformed variation stays blocked or unexecuted in your observation record. These steps do not claim native browser acceptance.</w:t>
      </w:r>
    </w:p>
    <w:p>
      <w:pPr>
        <w:pStyle w:val="Subtitle"/>
      </w:pPr>
      <w:r>
        <w:t>Web Technologies 2026  Course 02  English  v1.2.2 RC1</w:t>
      </w:r>
    </w:p>
    <w:p>
      <w:r>
        <w:t>Use this handout with the six canonical examples and the interactive presentation. The 60 minute core teaches you to explain an interface defect through its contract, mechanism, evidence and remaining uncertainty. Screens 25 to 29 and the offline laboratory are an optional 15 minute extension. No screenshot or automatic check certifies a whole product.</w:t>
      </w:r>
    </w:p>
    <w:p>
      <w:pPr>
        <w:pStyle w:val="Heading1"/>
      </w:pPr>
      <w:r>
        <w:t>What you should be able to explain</w:t>
      </w:r>
    </w:p>
    <w:p>
      <w:pPr>
        <w:pStyle w:val="ListBullet"/>
      </w:pPr>
      <w:r>
        <w:t>Identify a native control and show its name, description, group and state relationships in the DOM.</w:t>
      </w:r>
    </w:p>
    <w:p>
      <w:pPr>
        <w:pStyle w:val="ListBullet"/>
      </w:pPr>
      <w:r>
        <w:t>Predict the winning normal author declaration in the declared layer example and verify the computed value.</w:t>
      </w:r>
    </w:p>
    <w:p>
      <w:pPr>
        <w:pStyle w:val="ListBullet"/>
      </w:pPr>
      <w:r>
        <w:t>Calculate a border box and explain why intrinsic content can still create overflow.</w:t>
      </w:r>
    </w:p>
    <w:p>
      <w:pPr>
        <w:pStyle w:val="ListBullet"/>
      </w:pPr>
      <w:r>
        <w:t>Choose normal flow, Flexbox, Grid or an intentional overlay from the relationship it owns.</w:t>
      </w:r>
    </w:p>
    <w:p>
      <w:pPr>
        <w:pStyle w:val="ListBullet"/>
      </w:pPr>
      <w:r>
        <w:t>Test meaning, content and operation at a stated width, text size, content input and user preference.</w:t>
      </w:r>
    </w:p>
    <w:p>
      <w:pPr>
        <w:pStyle w:val="ListBullet"/>
      </w:pPr>
      <w:r>
        <w:t>Separate an observation from an inference and propose a check that could falsify an AI generated claim.</w:t>
      </w:r>
    </w:p>
    <w:p>
      <w:pPr>
        <w:pStyle w:val="Heading1"/>
      </w:pPr>
      <w:r>
        <w:t>Meaning and form relationships</w:t>
      </w:r>
    </w:p>
    <w:p>
      <w:r>
        <w:t>Open 04_CANONICAL_EXAMPLES_EN_GB/01-semantic-form-relationships/index.html. An associated label supplies a persistent name. aria-describedby connects supplementary instructions; it does not replace the name. fieldset and legend group the attendance choices. A native submit button has semantics and keyboard behaviour without a click only handler.</w:t>
      </w:r>
    </w:p>
    <w:p>
      <w:r>
        <w:t>Inspect the second, deliberately invalid email example. The supplied error state represents feedback after validation, rather than accusing the user while typing. aria-invalid="true" exposes the state; the linked email error explains how to correct it. The repaired state removes that error from aria-describedby and hides its message. Changing ARIA alone does not make the email valid. The example changes both the value and the relationship.</w:t>
      </w:r>
    </w:p>
    <w:p>
      <w:r>
        <w:t>Check yourself: if the label is removed but the placeholder remains, which relationship is lost? If aria-invalid is present without explanatory text, what can a user still be missing? Inspect the DOM and then use Tab, Shift+Tab and radio arrow keys; each observation supports a different claim. Use fictional data only.</w:t>
      </w:r>
    </w:p>
    <w:p>
      <w:pPr>
        <w:pStyle w:val="Heading1"/>
      </w:pPr>
      <w:r>
        <w:t>The cascade within the declared scope</w:t>
      </w:r>
    </w:p>
    <w:p>
      <w:r>
        <w:t>Open example 02-cascade-layer-order. Both competing rules are normal author declarations in named layers. The declared order is legacy then theme. The later theme layer wins before selector specificity is compared, so its class selector can beat an ID selector in legacy. Inspect matched rules and the computed colour; do not infer contrast compliance from the winning colour alone.</w:t>
      </w:r>
    </w:p>
    <w:p>
      <w:pPr>
        <w:spacing w:after="160"/>
      </w:pPr>
      <w:r>
        <w:rPr>
          <w:rFonts w:ascii="Consolas" w:hAnsi="Consolas"/>
          <w:sz w:val="20"/>
        </w:rPr>
        <w:t>@layer legacy, theme;</w:t>
        <w:br/>
        <w:t>@layer legacy { #claim .status { color: #9a3412; } }</w:t>
        <w:br/>
        <w:t>@layer theme { .status { color: #0f766e; } }</w:t>
      </w:r>
    </w:p>
    <w:p>
      <w:r>
        <w:t xml:space="preserve">Use the RC10 variation method below: a disposable external copy for layer edits, or temporary DevTools for the position declaration. Check yourself: swap the layer order and predict the winner before refreshing. Then remove the layers and explain why the reasoning changes. Important declarations, inline styles, other origins, animations and transitions require additional cascade stages; the short example does not cover them.</w:t>
      </w:r>
    </w:p>
    <w:p>
      <w:pPr>
        <w:pStyle w:val="Heading1"/>
      </w:pPr>
      <w:r>
        <w:t>Box sizing and pressure from content</w:t>
      </w:r>
    </w:p>
    <w:p>
      <w:r>
        <w:t>Open example 03-box-model-sizing. For width 240px, padding 16px on each side and border 2px on each side, content-box produces an outer width of 276px. border-box keeps the specified outer width at 240px and reduces the available content space. Margins lie outside this calculation. border-box does not wrap a long IBAN or override a track minimum.</w:t>
      </w:r>
    </w:p>
    <w:p>
      <w:r>
        <w:t>Open example 04-intrinsic-card-grid. The supplied minmax(min(100%, 14rem), 1fr) rule keeps the track minimum within the available width. The minimum track size and container width determine how many tracks fit. Related techniques such as minmax(0, 1fr), a flexible item with min-width:0 and an appropriate wrapping rule address different parts of content pressure; they are not all present in this example. Test long text and unbroken tokens separately. Hiding page overflow can conceal content without repairing its cause.</w:t>
      </w:r>
    </w:p>
    <w:p>
      <w:r>
        <w:t>Check yourself: replace one title with a long fictional supplier name, then with one unbroken token. Record container clientWidth and scrollWidth from the same element. Explain which constraint owns the observed overflow. A zero difference is insufficient if a descendant uses clipping.</w:t>
      </w:r>
    </w:p>
    <w:p>
      <w:pPr>
        <w:pStyle w:val="Heading1"/>
      </w:pPr>
      <w:r>
        <w:t>Distribution and intentional overlay</w:t>
      </w:r>
    </w:p>
    <w:p>
      <w:r>
        <w:t>Open example 06-flex-positioned-container. Flexbox distributes the toolbar along one main axis. The card uses position:relative to establish the containing block for the absolutely positioned badge. The card retains its normal flow space. The absolute badge leaves normal flow, so the card does not reserve space for it automatically. Relative and sticky positioning retain flow participation; absolute and fixed positioning do not. An overlay needs a deliberate containing block and a check for obscured content.</w:t>
      </w:r>
    </w:p>
    <w:p>
      <w:r>
        <w:t xml:space="preserve">Use the RC10 variation method below: a disposable external copy for layer edits, or temporary DevTools for the position declaration. Check yourself: remove position:relative from the card and predict the badge anchor. Inspect its rendered position before explaining the cause. Use source order for a meaningful reading sequence. CSS order can rearrange pixels while leaving sequential keyboard navigation based on a different order; it cannot prove a usable reading path.</w:t>
      </w:r>
    </w:p>
    <w:p>
      <w:pPr>
        <w:pStyle w:val="Heading1"/>
      </w:pPr>
      <w:r>
        <w:t>Keyboard focus and motion preference</w:t>
      </w:r>
    </w:p>
    <w:p>
      <w:r>
        <w:t>Open example 05-focus-and-motion-preferences. Follow the entire route with Tab and Shift+Tab and activate native controls with Enter or Space as appropriate. A programmatic focus() call checks a selected state, not the whole Tab order. Check that the indicator is visible, unobscured and attached to the current control. Inspect the DOM for role and name separately.</w:t>
      </w:r>
    </w:p>
    <w:p>
      <w:r>
        <w:t>Enable the operating system preference or emulate prefers-reduced-motion:reduce in developer tools, refresh the example and repeat keyboard navigation. The CSS removes the transition while the native button remains available. This example has no save service. The presentation’s simulation button overrides the demonstration rule; it does not change the actual operating system preference. Record which route you used.</w:t>
      </w:r>
    </w:p>
    <w:p>
      <w:pPr>
        <w:pStyle w:val="Heading1"/>
      </w:pPr>
      <w:r>
        <w:t>A small evidence record</w:t>
      </w:r>
    </w:p>
    <w:p>
      <w:r>
        <w:t>Before changing code, write the predicted result and the mechanism. After the check, record the exact file, input, observed result and limit. For example: “At an iframe viewport measured as 320 CSS px, the long supplier name wrapped and the Approve action remained reachable. This covers the supplied component and content only; native browser zoom and the full keyboard route are still separate checks.”</w:t>
      </w:r>
    </w:p>
    <w:p>
      <w:pPr>
        <w:pStyle w:val="ListBullet"/>
      </w:pPr>
      <w:r>
        <w:t>Meaning: DOM relationships and accessibility tree. Limit: no proof of keyboard operation.</w:t>
      </w:r>
    </w:p>
    <w:p>
      <w:pPr>
        <w:pStyle w:val="ListBullet"/>
      </w:pPr>
      <w:r>
        <w:t>Cascade: winning declaration and computed value. Limit: no proof of adequate contrast.</w:t>
      </w:r>
    </w:p>
    <w:p>
      <w:pPr>
        <w:pStyle w:val="ListBullet"/>
      </w:pPr>
      <w:r>
        <w:t>Geometry: same element clientWidth and scrollWidth plus visibility of content. Limit: only the tested state.</w:t>
      </w:r>
    </w:p>
    <w:p>
      <w:pPr>
        <w:pStyle w:val="ListBullet"/>
      </w:pPr>
      <w:r>
        <w:t>Interaction: observed keyboard route and activation. Limit: only the controls and states traversed.</w:t>
      </w:r>
    </w:p>
    <w:p>
      <w:pPr>
        <w:pStyle w:val="Heading1"/>
      </w:pPr>
      <w:r>
        <w:t>Offline extension and honest measurements</w:t>
      </w:r>
    </w:p>
    <w:p>
      <w:r>
        <w:t>Open 03_ACTIVITIES/INTERFACE_AUDIT_LAB_COURSE_02_v1.1_EN_GB.html. The width selector sets an actual nested iframe viewport and prints requested and measured widths. The host may need horizontal scrolling to display a wide iframe. Text size 200% changes CSS font size inside the example; it is not native browser zoom. The long content control replaces the supplier text with a longer supplied input. The reduced motion control simulates a rule override; the diagnosis also prints the actual media preference.</w:t>
      </w:r>
    </w:p>
    <w:p>
      <w:r>
        <w:t>For a native zoom check, use the browser menu to set 200%, record that value yourself and test operation, reading and clipping. Reset zoom afterwards. Keep these results separate from the font size simulation. The automatic diagnosis reports bounded observations and deliberately does not produce an overall accessibility verdict.</w:t>
      </w:r>
    </w:p>
    <w:p>
      <w:pPr>
        <w:pStyle w:val="Heading1"/>
      </w:pPr>
      <w:r>
        <w:t>Exit ticket</w:t>
      </w:r>
    </w:p>
    <w:p>
      <w:r>
        <w:t>Choose one interface defect. Name the contract it breaks, the declaration or relationship that causes it, one discriminating observation and one claim that remains unverified. If an AI supplied the repair, retain the relevant diff and challenge one plausible but false explanation. You may use the supplied flawed response offline. Do not report execution that you have not performed.</w:t>
      </w:r>
    </w:p>
    <w:p>
      <w:pPr>
        <w:pStyle w:val="Heading1"/>
      </w:pPr>
      <w:r>
        <w:t>Primary references and reading route</w:t>
      </w:r>
    </w:p>
    <w:p>
      <w:r>
        <w:t>Read the named section when you need to verify a claim. These documents define a broader scope than this class. The exact 1/2/4 column checkpoints used in Seminar 02 are a local teaching contract, not a requirement in WCAG or CSS Grid.</w:t>
      </w:r>
    </w:p>
    <w:p>
      <w:r>
        <w:t>WHATWG HTML Living Standard. Forms and the label element: names, grouping and native submission.</w:t>
        <w:br/>
        <w:t>https://html.spec.whatwg.org/multipage/forms.html</w:t>
      </w:r>
    </w:p>
    <w:p>
      <w:r>
        <w:t>CSS Cascading and Inheritance Level 5. Cascade sorting and layer order. Our normal author declaration example deliberately omits other origins and importance levels.</w:t>
        <w:br/>
        <w:t>https://www.w3.org/TR/css-cascade-5/</w:t>
      </w:r>
    </w:p>
    <w:p>
      <w:r>
        <w:t>CSS Box Sizing Level 3. Box sizing and intrinsic sizes. Compare the content box with the border box.</w:t>
        <w:br/>
        <w:t>https://www.w3.org/TR/css-sizing-3/</w:t>
      </w:r>
    </w:p>
    <w:p>
      <w:r>
        <w:t>CSS Grid Layout Level 2. Track sizing and the minmax function in example 04.</w:t>
        <w:br/>
        <w:t>https://www.w3.org/TR/css-grid-2/</w:t>
      </w:r>
    </w:p>
    <w:p>
      <w:r>
        <w:t>CSS Positioned Layout Level 3. Positioning schemes: relative and sticky retain flow participation; absolute and fixed do not. This is a specification draft, not a WCAG requirement.</w:t>
        <w:br/>
        <w:t>https://www.w3.org/TR/css-position-3/</w:t>
      </w:r>
    </w:p>
    <w:p>
      <w:r>
        <w:t>WCAG 2.2. Relevant success criteria: 1.3.1 relationships, 1.4.4 text resize, 1.4.10 reflow, 2.1.1 keyboard, 2.4.7 focus visible, 3.3.1 error identification and 3.3.2 labels or instructions. The examples are not a complete conformance audit.</w:t>
        <w:br/>
        <w:t>https://www.w3.org/TR/WCAG22/</w:t>
      </w:r>
    </w:p>
    <w:p>
      <w:r>
        <w:t>Media Queries Level 5. The prefers-reduced-motion feature exposes a user preference. Removing the demonstration transition alone does not establish WCAG conformance.</w:t>
        <w:br/>
        <w:t>https://www.w3.org/TR/mediaqueries-5/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02 student handout</dc:title>
  <dc:subject/>
  <dc:creator>WebTech ASE</dc:creator>
  <cp:keywords/>
  <dc:description/>
  <cp:lastModifiedBy/>
  <cp:revision>1</cp:revision>
  <dcterms:created xsi:type="dcterms:W3CDTF">2013-12-23T23:15:00Z</dcterms:created>
  <dcterms:modified xsi:type="dcterms:W3CDTF">2013-12-23T23:15:00Z</dcterms:modified>
  <cp:category/>
</cp:coreProperties>
</file>