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C11 — Preparation and Transfer</w:t>
      </w:r>
    </w:p>
    <w:p>
      <w:r>
        <w:t xml:space="preserve">RC10 current classroom transfer</w:t>
      </w:r>
    </w:p>
    <w:p>
      <w:r>
        <w:t xml:space="preserve">Current S11 classroom transfer</w:t>
      </w:r>
    </w:p>
    <w:p>
      <w:r>
        <w:t xml:space="preserve">Complete every listed microproject individually in class. These are bounded tasks, not completion of the historical full applications.</w:t>
      </w:r>
    </w:p>
    <w:p>
      <w:r>
        <w:t xml:space="preserve">P01 — Authentication transfer: trusted principal — editable path from the seminar package root: CLASSROOM_RC6/student/p01.mjs</w:t>
      </w:r>
    </w:p>
    <w:p>
      <w:r>
        <w:t xml:space="preserve">P02 — Authorization: owner versus role — editable path from the seminar package root: CLASSROOM_RC6/student/p02.mjs</w:t>
      </w:r>
    </w:p>
    <w:p>
      <w:r>
        <w:t xml:space="preserve">P03 — CORS and CSRF: two independent decisions — editable path from the seminar package root: CLASSROOM_RC6/student/p03.mjs</w:t>
      </w:r>
    </w:p>
    <w:p>
      <w:r>
        <w:t xml:space="preserve">Current entry: ../../../../ENTRY/S11.html</w:t>
      </w:r>
    </w:p>
    <w:p>
      <w:r>
        <w:t xml:space="preserve">Step-by-step tutorial: ../../../../TUTORIALS/S11.html</w:t>
      </w:r>
    </w:p>
    <w:p>
      <w:r>
        <w:t xml:space="preserve">Current evidence form: ../../../S11/WEBTECH_ASE_S11_EN_GB_v1.2.4_RC6/CLASSROOM_RC6/EVIDENCE_FORM.html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keepLines/>
        <w:ind w:firstLine="0"/>
        <w:jc w:val="left"/>
      </w:pPr>
      <w:r>
        <w:rPr>
          <w:rFonts w:ascii="Times New Roman" w:hAnsi="Times New Roman" w:eastAsia="Times New Roman" w:cs="Times New Roman"/>
          <w:b w:val="0"/>
          <w:i w:val="0"/>
          <w:sz w:val="24"/>
        </w:rPr>
        <w:t>Before the course: read, predict, distinguish</w:t>
      </w:r>
    </w:p>
    <w:p>
      <w:pPr>
        <w:keepLines/>
        <w:jc w:val="both"/>
      </w:pPr>
      <w:r>
        <w:rPr>
          <w:rFonts w:ascii="Times New Roman" w:hAnsi="Times New Roman" w:eastAsia="Times New Roman" w:cs="Times New Roman"/>
          <w:b w:val="0"/>
          <w:i w:val="0"/>
          <w:sz w:val="24"/>
        </w:rPr>
        <w:t>Read the package index, SOURCE_NOTES.md and the opening handout sections. This phase requires no installation, external account, password, session cookie or server. Inspect the five canonical example directories as source files; their historical run instructions are not an instruction to start them now.</w:t>
      </w:r>
    </w:p>
    <w:p>
      <w:pPr>
        <w:keepLines/>
        <w:jc w:val="both"/>
      </w:pPr>
      <w:r>
        <w:rPr>
          <w:rFonts w:ascii="Times New Roman" w:hAnsi="Times New Roman" w:eastAsia="Times New Roman" w:cs="Times New Roman"/>
          <w:b w:val="0"/>
          <w:i w:val="0"/>
          <w:sz w:val="24"/>
        </w:rPr>
        <w:t>Write a short prediction for each of these distinctions: TLS versus principal verification; principal verification versus a specific permission; server expiry versus a cookie lifetime; response sharing versus request intent; bound data versus SQL execution. Name the boundary rather than a library alone. Use fictional labels instead of copying private requests.</w:t>
      </w:r>
    </w:p>
    <w:p>
      <w:pPr>
        <w:pStyle w:val="Heading1"/>
        <w:keepLines/>
        <w:ind w:firstLine="0"/>
        <w:jc w:val="left"/>
      </w:pPr>
      <w:r>
        <w:rPr>
          <w:rFonts w:ascii="Times New Roman" w:hAnsi="Times New Roman" w:eastAsia="Times New Roman" w:cs="Times New Roman"/>
          <w:b w:val="0"/>
          <w:i w:val="0"/>
          <w:sz w:val="24"/>
        </w:rPr>
        <w:t>During the 60-minute course</w:t>
      </w:r>
    </w:p>
    <w:p>
      <w:pPr>
        <w:keepLines/>
        <w:jc w:val="both"/>
      </w:pPr>
      <w:r>
        <w:rPr>
          <w:rFonts w:ascii="Times New Roman" w:hAnsi="Times New Roman" w:eastAsia="Times New Roman" w:cs="Times New Roman"/>
          <w:b w:val="0"/>
          <w:i w:val="0"/>
          <w:sz w:val="24"/>
        </w:rPr>
        <w:t>Follow the eight intervals in course.html. At each intermezzo, make the prediction before revealing the explanatory model. The model accepts only a selected fixed scenario and a text prediction. Its output is explicitly synthetic and cannot be substituted for an observed Express or browser result.</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For one example, record the source file, function or route, the property it actually implements and one stronger claim it cannot support. A useful choice is the distinction between EX-03’s cookie header and P01’s server-owned expiry. Do not paste the cookie’s value; an attribute checklist is enough.</w:t>
      </w:r>
    </w:p>
    <w:p>
      <w:pPr>
        <w:pStyle w:val="Heading1"/>
        <w:keepLines/>
        <w:pageBreakBefore/>
        <w:ind w:firstLine="0"/>
        <w:jc w:val="left"/>
      </w:pPr>
      <w:r>
        <w:rPr>
          <w:rFonts w:ascii="Times New Roman" w:hAnsi="Times New Roman" w:eastAsia="Times New Roman" w:cs="Times New Roman"/>
          <w:b w:val="0"/>
          <w:i w:val="0"/>
          <w:sz w:val="24"/>
        </w:rPr>
        <w:t>A bounded Gemini critique for later seminar use</w:t>
      </w:r>
    </w:p>
    <w:p>
      <w:pPr>
        <w:keepLines/>
        <w:jc w:val="both"/>
      </w:pPr>
      <w:r>
        <w:rPr>
          <w:rFonts w:ascii="Times New Roman" w:hAnsi="Times New Roman" w:eastAsia="Times New Roman" w:cs="Times New Roman"/>
          <w:b w:val="0"/>
          <w:i w:val="0"/>
          <w:sz w:val="24"/>
        </w:rPr>
        <w:t>After the relevant individual work, select one own claim and a minimal sanitised excerpt. The reusable prompt in GEMINI_PROMPT.txt asks for a critique, not the complete policy or two-helper repair. Keep the relevant actual prompt and response extract only. Then compare the claim with the exact source contract or an independent protective check.</w:t>
      </w:r>
    </w:p>
    <w:p>
      <w:pPr>
        <w:keepLines/>
        <w:jc w:val="both"/>
      </w:pPr>
      <w:r>
        <w:rPr>
          <w:rFonts w:ascii="Times New Roman" w:hAnsi="Times New Roman" w:eastAsia="Times New Roman" w:cs="Times New Roman"/>
          <w:b w:val="0"/>
          <w:i w:val="0"/>
          <w:sz w:val="24"/>
        </w:rPr>
        <w:t>Record one of ACCEPTED, REJECTED, PARTIALLY ACCEPTED or UNKNOWN. Explain the supporting observation, any correction and the remaining limit. A synthetic claim included in the course is not a conversation received from Gemini. An unavailable exchange remains pending; a separately authorised alternative cannot be granted by a form selector.</w:t>
      </w:r>
    </w:p>
    <w:p>
      <w:pPr>
        <w:pStyle w:val="Heading1"/>
        <w:keepLines/>
        <w:ind w:firstLine="0"/>
        <w:jc w:val="left"/>
      </w:pPr>
      <w:r>
        <w:rPr>
          <w:rFonts w:ascii="Times New Roman" w:hAnsi="Times New Roman" w:eastAsia="Times New Roman" w:cs="Times New Roman"/>
          <w:b w:val="0"/>
          <w:i w:val="0"/>
          <w:sz w:val="24"/>
        </w:rPr>
        <w:t>Transfer obligations</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P02 remains the full central task in authorization-policy.js. P01 is capstone integration. The mandatory P03 portfolio is the separately identified two-class 11.3A route, CORS and CSRF. It uses static source-to-boundary analysis and benign protective verification, not exploit execution. Do not complete or launch the historical all-five starter as an implicit requirement.</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eventual S11 record combines individual P02 evidence, the reduced portfolio and critique in one PDF. The 48-field form and the S11 starter package belong to the next phase and are not included here. The teacher sets the eventual deadline; no date or separate C11 Assignment is created now.</w:t>
      </w:r>
    </w:p>
    <w:p>
      <w:pPr>
        <w:pStyle w:val="Heading1"/>
        <w:keepLines/>
        <w:ind w:firstLine="0"/>
        <w:jc w:val="left"/>
      </w:pPr>
      <w:r>
        <w:rPr>
          <w:rFonts w:ascii="Times New Roman" w:hAnsi="Times New Roman" w:eastAsia="Times New Roman" w:cs="Times New Roman"/>
          <w:b w:val="0"/>
          <w:i w:val="0"/>
          <w:sz w:val="24"/>
        </w:rPr>
        <w:t>End-of-course self-check</w:t>
      </w:r>
    </w:p>
    <w:p>
      <w:pPr>
        <w:keepLines/>
        <w:jc w:val="both"/>
      </w:pPr>
      <w:r>
        <w:rPr>
          <w:rFonts w:ascii="Times New Roman" w:hAnsi="Times New Roman" w:eastAsia="Times New Roman" w:cs="Times New Roman"/>
          <w:b w:val="0"/>
          <w:i w:val="0"/>
          <w:sz w:val="24"/>
        </w:rPr>
        <w:t>For your chosen boundary, write: owner; trusted fact; untrusted input category; expected allowance; expected refusal; evidence class; one limit. Leave unknown results visibly unknown. A hash proves identity of bytes, not correct behaviour. Header assertions do not prove browser enforcement; helper results do not prove middleware order. STOP at 60, preserving outstanding work for the later deadline.</w:t>
      </w:r>
    </w:p>
    <w:sectPr w:rsidR="00FC693F" w:rsidRPr="0006063C" w:rsidSect="00034616">
      <w:headerReference w:type="default" r:id="rId9"/>
      <w:footerReference w:type="default" r:id="rId10"/>
      <w:pgSz w:w="11909" w:h="16834"/>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C11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C11_PREPARATION_TRANSFER</dc:title>
  <dc:subject>C11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