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S09 P02 Full Stack Notes CRUD transfer</w:t>
      </w:r>
    </w:p>
    <w:p>
      <w:pPr>
        <w:pStyle w:val="Subtitle"/>
      </w:pPr>
      <w:r>
        <w:t>Conceptual semester milestone transfer without a second S09 implementation gate</w:t>
      </w:r>
    </w:p>
    <w:p>
      <w:r>
        <w:t xml:space="preserve">S09  |  Version v1.2.1</w:t>
      </w:r>
    </w:p>
    <w:p>
      <w:pPr>
        <w:widowControl/>
      </w:pPr>
      <w:r>
        <w:rPr>
          <w:rFonts w:ascii="Arial" w:hAnsi="Arial"/>
          <w:b w:val="0"/>
          <w:color w:val="000000"/>
        </w:rPr>
        <w:t xml:space="preserve">PHASE3_LOCAL_REMEDIATION_CANDIDATE_NOT_RUNTIME_QUALIFIED</w:t>
      </w:r>
    </w:p>
    <w:p>
      <w:pPr>
        <w:widowControl/>
      </w:pPr>
      <w:r>
        <w:rPr>
          <w:rFonts w:ascii="Arial" w:hAnsi="Arial"/>
          <w:b w:val="0"/>
          <w:color w:val="000000"/>
        </w:rPr>
        <w:t>Application commands below are for your later separately provisioned and authorised teaching environment. No application, test, server, browser or Gemini exchange was executed while producing this candidate.</w:t>
      </w:r>
    </w:p>
    <w:p>
      <w:pPr>
        <w:widowControl/>
      </w:pPr>
      <w:r>
        <w:rPr>
          <w:rFonts w:ascii="Arial" w:hAnsi="Arial"/>
          <w:b w:val="0"/>
          <w:color w:val="000000"/>
        </w:rPr>
        <w:t xml:space="preserve">The matching S09_P02_TRANSFER_GUIDE_EN_GB_v1.2.1.docx and S09_P02_TRANSFER_GUIDE_EN_GB_v1.2.1.pdf are supplied under student/documents. Use FORM_S09_EN_GB.docx under student/form for genuine captures in your one individual final PDF.</w:t>
      </w:r>
    </w:p>
    <w:p>
      <w:pPr>
        <w:widowControl/>
      </w:pPr>
      <w:r>
        <w:rPr>
          <w:rFonts w:ascii="Arial" w:hAnsi="Arial"/>
          <w:b w:val="0"/>
          <w:color w:val="000000"/>
        </w:rPr>
        <w:t xml:space="preserve">Ultra-beginner guide: ../guide/S09_INTERACTIVE_ULTRA_BEGINNER_GUIDE_EN_GB_v1.2.1.html</w:t>
      </w:r>
    </w:p>
    <w:p>
      <w:pPr>
        <w:widowControl/>
      </w:pPr>
      <w:r>
        <w:rPr>
          <w:rFonts w:ascii="Arial" w:hAnsi="Arial"/>
          <w:b w:val="0"/>
          <w:color w:val="000000"/>
        </w:rPr>
        <w:t>Evidence form: ../form/FORM_S09_EN_GB.html</w:t>
      </w:r>
    </w:p>
    <w:p>
      <w:pPr>
        <w:widowControl/>
      </w:pPr>
      <w:r>
        <w:rPr>
          <w:rFonts w:ascii="Arial" w:hAnsi="Arial"/>
          <w:b w:val="0"/>
          <w:color w:val="000000"/>
        </w:rPr>
        <w:t>Moodle upload guide: ../moodle/MOODLE_UPLOAD_GUIDE_S09_EN_GB.md</w:t>
      </w:r>
    </w:p>
    <w:p>
      <w:pPr>
        <w:pStyle w:val="Heading1"/>
      </w:pPr>
      <w:r>
        <w:t>1 A later capstone obligation with a truthful status</w:t>
      </w:r>
    </w:p>
    <w:p>
      <w:pPr>
        <w:widowControl/>
      </w:pPr>
      <w:r>
        <w:rPr>
          <w:rFonts w:ascii="Arial" w:hAnsi="Arial"/>
          <w:b w:val="0"/>
          <w:color w:val="000000"/>
        </w:rPr>
        <w:t>During S09, explain the transfer from URL/form ownership to confirmed server notes, local UI draft and submission state. Record actual capstone progress, including NOT_STARTED. Full P02 implementation is a later semester milestone with an unmeasured source estimate 70–90 minutes.</w:t>
      </w:r>
    </w:p>
    <w:p>
      <w:pPr>
        <w:widowControl/>
      </w:pPr>
      <w:r>
        <w:rPr>
          <w:rFonts w:ascii="Arial" w:hAnsi="Arial"/>
          <w:b w:val="0"/>
          <w:color w:val="000000"/>
        </w:rPr>
        <w:t>The later assessed file is capstone/p02/student/client/src/NotesWorkspace.jsx. Keep server, API adapter, proxy, fixtures, tests and dependencies exact. P02 is one workspace; no router is required.</w:t>
      </w:r>
    </w:p>
    <w:p>
      <w:pPr>
        <w:widowControl/>
      </w:pPr>
      <w:r>
        <w:rPr>
          <w:rFonts w:ascii="Arial" w:hAnsi="Arial"/>
          <w:b w:val="0"/>
          <w:color w:val="000000"/>
        </w:rPr>
        <w:t>The supplied adapter actually exposes list/create/update/remove. The original spec mentions an individual get contract that this supplied API/server does not implement. A POST Location header does not create that GET endpoint.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041"/>
            <w:shd w:fill="EAEA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Owner</w:t>
            </w:r>
          </w:p>
        </w:tc>
        <w:tc>
          <w:tcPr>
            <w:tcW w:type="dxa" w:w="3288"/>
            <w:shd w:fill="EAEA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Concrete state</w:t>
            </w:r>
          </w:p>
        </w:tc>
        <w:tc>
          <w:tcPr>
            <w:tcW w:type="dxa" w:w="4422"/>
            <w:shd w:fill="EAEA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Economic review interpretation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Confirmed server notes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Data from a successful API result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The revision acknowledged within the stated server domain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Local selection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Selected existing note ID or no selection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Which order/invoice is being reviewed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Controlled draft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Editable title/body and new/edit mode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A proposed revision that has not been confirmed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Submission state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Pending/error/success status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Whether the proposed revision was accepted or remains unresolved</w:t>
            </w:r>
          </w:p>
        </w:tc>
      </w:tr>
    </w:tbl>
    <w:p>
      <w:pPr>
        <w:spacing w:after="4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591372"/>
            <wp:docPr id="1" name="Picture 1" descr="Illustrative interface diagram separating URL noteId, the addressed note 2 record and the local unsaved title/body draf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S09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/>
          <w:b w:val="0"/>
          <w:color w:val="000000"/>
        </w:rPr>
        <w:t>Illustrative interface diagram. The URL selects the addressed record; editable title/body remain a local draft until a valid write. P01 storage is volatile, with no durability or authorisation claim.</w:t>
      </w:r>
    </w:p>
    <w:p>
      <w:pPr>
        <w:widowControl/>
      </w:pPr>
      <w:r>
        <w:rPr>
          <w:rFonts w:ascii="Arial" w:hAnsi="Arial"/>
          <w:b w:val="0"/>
          <w:color w:val="000000"/>
        </w:rPr>
        <w:t>ILLUSTRATIVE_INTERFACE_DIAGRAM</w:t>
      </w:r>
    </w:p>
    <w:p>
      <w:pPr>
        <w:widowControl/>
      </w:pPr>
      <w:r>
        <w:rPr>
          <w:rFonts w:ascii="Arial" w:hAnsi="Arial"/>
          <w:b w:val="0"/>
          <w:color w:val="000000"/>
        </w:rPr>
        <w:t>1 URL noteId</w:t>
      </w:r>
    </w:p>
    <w:p>
      <w:pPr>
        <w:widowControl/>
      </w:pPr>
      <w:r>
        <w:rPr>
          <w:rFonts w:ascii="Arial" w:hAnsi="Arial"/>
          <w:b w:val="0"/>
          <w:color w:val="000000"/>
        </w:rPr>
        <w:t>2 addressed note record</w:t>
      </w:r>
    </w:p>
    <w:p>
      <w:pPr>
        <w:widowControl/>
      </w:pPr>
      <w:r>
        <w:rPr>
          <w:rFonts w:ascii="Arial" w:hAnsi="Arial"/>
          <w:b w:val="0"/>
          <w:color w:val="000000"/>
        </w:rPr>
        <w:t>3 local unsaved draft</w:t>
      </w:r>
    </w:p>
    <w:p>
      <w:pPr>
        <w:pStyle w:val="Heading1"/>
      </w:pPr>
      <w:r>
        <w:t>2 The S09 conceptual task</w:t>
      </w:r>
    </w:p>
    <w:p>
      <w:pPr>
        <w:pStyle w:val="Heading2"/>
      </w:pPr>
      <w:r>
        <w:t>TG 01 Write the confirmed data versus draft map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The S09 form’s P02 transfer fields, not an additional implementation session.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p02_transfer_map, p02_integration_status, economic_informatics_transfer and optional p02_evidence_optional.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Map one order/invoice review workflow onto confirmed data, selection, draft and submission state.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A cause→observable consequence→economic implication→limit explanation and the actual progress status.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Your conceptual map and a precise consequence of publishing an unconfirmed or stale revision.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The record distinguishes proposal from confirmation and describes only the evidence you have.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Use the ownership table and state NOT_STARTED if no implementation has begun. Optional actual evidence can remain blank.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if NOT_STARTED is being hidden or a completed P02 build is being invented to finish S09.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TG-02: explain the supplied API scope.</w:t>
      </w:r>
    </w:p>
    <w:p>
      <w:pPr>
        <w:pStyle w:val="Heading2"/>
      </w:pPr>
      <w:r>
        <w:t>TG 02 State the supplied API operations accurately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The exact supplied notes-api.js and server/app.js read as source.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list/create/update/remove, collection GET, POST, PUT and DELETE. Source reading is a SOURCE witness.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Record the four implemented operations and the limitation that no individual get method is supplied.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A source-grounded API map. The server’s initial note 1 is Server state, not the P01 seed 1/2; fresh P02 creates begin at ID 2.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p02_transfer_map with source locator and the distinction between P01 volatile store and P02 server-returned data.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A Location header is not mislabelled proof of a GET route or database persistence.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Return to the exact adapter/server rather than borrowing a different lecture example’s contract.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a claim of an unimplemented endpoint, actual HTTP result or durable database.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TG-03: record lifecycle and confirmation risks for later capstone work.</w:t>
      </w:r>
    </w:p>
    <w:p>
      <w:pPr>
        <w:pStyle w:val="Heading1"/>
      </w:pPr>
      <w:r>
        <w:t>3 Confirmation read write order and cleanup</w:t>
      </w:r>
    </w:p>
    <w:p>
      <w:pPr>
        <w:widowControl/>
      </w:pPr>
      <w:r>
        <w:rPr>
          <w:rFonts w:ascii="Arial" w:hAnsi="Arial"/>
          <w:b w:val="0"/>
          <w:color w:val="000000"/>
        </w:rPr>
        <w:t>Later implementation must retain server notes only from successful API results. A save click expresses intent; it is not confirmation. Use returned note identity/normalisation rather than the original draft as the confirmed record.</w:t>
      </w:r>
    </w:p>
    <w:p>
      <w:pPr>
        <w:widowControl/>
      </w:pPr>
      <w:r>
        <w:rPr>
          <w:rFonts w:ascii="Arial" w:hAnsi="Arial"/>
          <w:b w:val="0"/>
          <w:color w:val="000000"/>
        </w:rPr>
        <w:t>An older refresh can settle after a newer one. A list started before a confirmed write can also settle afterwards and erase that confirmation from the view. These are different orderings to investigate with declared deferred witnesses.</w:t>
      </w:r>
    </w:p>
    <w:p>
      <w:pPr>
        <w:widowControl/>
      </w:pPr>
      <w:r>
        <w:rPr>
          <w:rFonts w:ascii="Arial" w:hAnsi="Arial"/>
          <w:b w:val="0"/>
          <w:color w:val="000000"/>
        </w:rPr>
        <w:t>Abort is a cancellation request rather than proof that a non-cooperative promise cannot publish after cleanup. A later callback must still belong to the active session. Repeated submissions also need a declared ownership policy.</w:t>
      </w:r>
    </w:p>
    <w:p>
      <w:pPr>
        <w:widowControl/>
      </w:pPr>
      <w:r>
        <w:rPr>
          <w:rFonts w:ascii="Arial" w:hAnsi="Arial"/>
          <w:b w:val="0"/>
          <w:color w:val="000000"/>
        </w:rPr>
        <w:t>A failed load/write should preserve the last confirmed notes and relevant local draft while exposing a stable sanitised error and a retry route. A UI status flag does not, by itself, prove synchronous exclusion of repeated writes.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041"/>
            <w:shd w:fill="EAEA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Situation</w:t>
            </w:r>
          </w:p>
        </w:tc>
        <w:tc>
          <w:tcPr>
            <w:tcW w:type="dxa" w:w="3288"/>
            <w:shd w:fill="EAEA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Discriminating future witness</w:t>
            </w:r>
          </w:p>
        </w:tc>
        <w:tc>
          <w:tcPr>
            <w:tcW w:type="dxa" w:w="4422"/>
            <w:shd w:fill="EAEA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b/>
                <w:color w:val="000000"/>
                <w:sz w:val="22"/>
              </w:rPr>
              <w:t>Current status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Two refreshes settle newest then oldest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Actual deferred-order result retains the newer publication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PENDING; no execution in production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List begins before a successful write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Older list cannot erase the confirmed returned record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PENDING; separate read/write ordering witness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Non-cooperative promise settles after cleanup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Active-session publication rights are revoked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PENDING; aborted signal alone is insufficient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Repeated submit or selected-ID change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Only intended write/target owns the result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PENDING; use exact event/session identity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HTTP/transport/schema failure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Confirmed notes/draft retained with sanitised retry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60" w:line="252" w:lineRule="auto"/>
            </w:pPr>
            <w:r>
              <w:rPr>
                <w:rFonts w:ascii="Arial" w:hAnsi="Arial"/>
                <w:color w:val="000000"/>
                <w:sz w:val="22"/>
              </w:rPr>
              <w:t>PENDING; source adapter support is bounded</w:t>
            </w:r>
          </w:p>
        </w:tc>
      </w:tr>
    </w:tbl>
    <w:p>
      <w:pPr>
        <w:spacing w:after="40"/>
      </w:pPr>
    </w:p>
    <w:p>
      <w:pPr>
        <w:pStyle w:val="Heading1"/>
      </w:pPr>
      <w:r>
        <w:t>4 Later source boundaries and environment blocks</w:t>
      </w:r>
    </w:p>
    <w:p>
      <w:pPr>
        <w:widowControl/>
      </w:pPr>
      <w:r>
        <w:rPr>
          <w:rFonts w:ascii="Arial" w:hAnsi="Arial"/>
          <w:b w:val="0"/>
          <w:color w:val="000000"/>
        </w:rPr>
        <w:t>The in-memory server is not a database and local UI confirmation is not a general economic transaction guarantee. Authorisation, durable storage, conflict resolution and accounting correctness are outside this small exercise.</w:t>
      </w:r>
    </w:p>
    <w:p>
      <w:pPr>
        <w:widowControl/>
      </w:pPr>
      <w:r>
        <w:rPr>
          <w:rFonts w:ascii="Arial" w:hAnsi="Arial"/>
          <w:b w:val="0"/>
          <w:color w:val="000000"/>
        </w:rPr>
        <w:t>A precise conceptual transfer can be complete while full P02 progress remains NOT_STARTED. That honest separation is part of the learning objective.</w:t>
      </w:r>
    </w:p>
    <w:p>
      <w:pPr>
        <w:pStyle w:val="Heading2"/>
      </w:pPr>
      <w:r>
        <w:t>TG 03 Keep the capstone plan and limits separate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WHERE YOU ARE: </w:t>
      </w:r>
      <w:r>
        <w:rPr>
          <w:rFonts w:ascii="Arial" w:hAnsi="Arial"/>
          <w:b w:val="0"/>
          <w:color w:val="000000"/>
        </w:rPr>
        <w:t>Your S09 transfer record and the actual later semester milestone plan.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FIND: </w:t>
      </w:r>
      <w:r>
        <w:rPr>
          <w:rFonts w:ascii="Arial" w:hAnsi="Arial"/>
          <w:b w:val="0"/>
          <w:color w:val="000000"/>
        </w:rPr>
        <w:t>The incomplete NotesWorkspace.jsx, protected canonical adapter/server and separately named support preview.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EXACT ACTION: </w:t>
      </w:r>
      <w:r>
        <w:rPr>
          <w:rFonts w:ascii="Arial" w:hAnsi="Arial"/>
          <w:b w:val="0"/>
          <w:color w:val="000000"/>
        </w:rPr>
        <w:t>Record the planned later implementation and its real current status.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YOU SHOULD SEE: </w:t>
      </w:r>
      <w:r>
        <w:rPr>
          <w:rFonts w:ascii="Arial" w:hAnsi="Arial"/>
          <w:b w:val="0"/>
          <w:color w:val="000000"/>
        </w:rPr>
        <w:t>A transparent capstone plan with PENDING witnesses. The source-preserved standalone launcher has a Windows/path representation limitation; a named support launcher is a derivative, not the assessed server.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WHAT TO RECORD: </w:t>
      </w:r>
      <w:r>
        <w:rPr>
          <w:rFonts w:ascii="Arial" w:hAnsi="Arial"/>
          <w:b w:val="0"/>
          <w:color w:val="000000"/>
        </w:rPr>
        <w:t>The active source identity and limitations. Preview adapter schema/transport checks do not qualify the original adapter or a complete security contract.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DO NOT CONTINUE UNLESS: </w:t>
      </w:r>
      <w:r>
        <w:rPr>
          <w:rFonts w:ascii="Arial" w:hAnsi="Arial"/>
          <w:b w:val="0"/>
          <w:color w:val="000000"/>
        </w:rPr>
        <w:t>Full capstone work, environment qualification and support derivatives are labelled distinctly from S09 conceptual completion.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IF YOU DO NOT SEE THIS: </w:t>
      </w:r>
      <w:r>
        <w:rPr>
          <w:rFonts w:ascii="Arial" w:hAnsi="Arial"/>
          <w:b w:val="0"/>
          <w:color w:val="000000"/>
        </w:rPr>
        <w:t>Keep the canonical source unchanged and use only a separately authorised support route later if needed.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STOP CONDITION: </w:t>
      </w:r>
      <w:r>
        <w:rPr>
          <w:rFonts w:ascii="Arial" w:hAnsi="Arial"/>
          <w:b w:val="0"/>
          <w:color w:val="000000"/>
        </w:rPr>
        <w:t>Stop any hidden installation, runtime substitution, source rewrite or extra S09 gate.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CONTINUE WITH: </w:t>
      </w:r>
      <w:r>
        <w:rPr>
          <w:rFonts w:ascii="Arial" w:hAnsi="Arial"/>
          <w:b w:val="0"/>
          <w:color w:val="000000"/>
        </w:rPr>
        <w:t>Finish the conceptual explanation in the same S09 PDF. Pursue the later actual capstone milestone under its published requirements.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000000"/>
        <w:sz w:val="18"/>
      </w:rPr>
      <w:t xml:space="preserve">S09 v1.2.1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color w:val="00000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S09 P02 Full Stack Notes CRUD transfer</dc:title>
  <dc:subject>S09 local production candidate v1.2.0</dc:subject>
  <dc:creator>WebTech ASE</dc:creator>
  <cp:keywords>S09; EN-GB; individual evidence; v1.2.0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