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C11 — Preparation and Transfer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Before the course: read, predict, distinguish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Read the package index, SOURCE_NOTES.md and the opening handout sections. This phase requires no installation, external account, password, session cookie or server. Inspect the five canonical example directories as source files; their historical run instructions are not an instruction to start them now.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Write a short prediction for each of these distinctions: TLS versus principal verification; principal verification versus a specific permission; server expiry versus a cookie lifetime; response sharing versus request intent; bound data versus SQL execution. Name the boundary rather than a library alone. Use fictional labels instead of copying private requests.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During the 60-minute course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Follow the eight intervals in course.html. At each intermezzo, make the prediction before revealing the explanatory model. The model accepts only a selected fixed scenario and a text prediction. Its output is explicitly synthetic and cannot be substituted for an observed Express or browser result.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For one example, record the source file, function or route, the property it actually implements and one stronger claim it cannot support. A useful choice is the distinction between EX-03’s cookie header and P01’s server-owned expiry. Do not paste the cookie’s value; an attribute checklist is enough.</w:t>
      </w:r>
    </w:p>
    <w:p>
      <w:pPr>
        <w:pStyle w:val="Heading1"/>
        <w:keepLines/>
        <w:pageBreakBefore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bounded Gemini critique for later seminar use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After the relevant individual work, select one own claim and a minimal sanitised excerpt. The reusable prompt in GEMINI_PROMPT.txt asks for a critique, not the complete policy or two-helper repair. Keep the relevant actual prompt and response extract only. Then compare the claim with the exact source contract or an independent protective check.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Record one of ACCEPTED, REJECTED, PARTIALLY ACCEPTED or UNKNOWN. Explain the supporting observation, any correction and the remaining limit. A synthetic claim included in the course is not a conversation received from Gemini. An unavailable exchange remains pending; a separately authorised alternative cannot be granted by a form selector.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Transfer obligations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P02 remains the full central task in authorization-policy.js. P01 is capstone integration. The mandatory P03 portfolio is the separately identified two-class 11.3A route, CORS and CSRF. It uses static source-to-boundary analysis and benign protective verification, not exploit execution. Do not complete or launch the historical all-five starter as an implicit requirement.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eventual S11 record combines individual P02 evidence, the reduced portfolio and critique in one PDF. The 48-field form and the S11 starter package belong to the next phase and are not included here. The teacher sets the eventual deadline; no date or separate C11 Assignment is created now.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End-of-course self-check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For your chosen boundary, write: owner; trusted fact; untrusted input category; expected allowance; expected refusal; evidence class; one limit. Leave unknown results visibly unknown. A hash proves identity of bytes, not correct behaviour. Header assertions do not prove browser enforcement; helper results do not prove middleware order. STOP at 60, preserving outstanding work for the later deadline.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Times New Roman" w:cs="Times New Roman"/>
        <w:sz w:val="18"/>
      </w:rPr>
      <w:t xml:space="preserve">C11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rFonts w:ascii="Times New Roman" w:hAnsi="Times New Roman" w:eastAsia="Times New Roman" w:cs="Times New Roman"/>
        <w:sz w:val="18"/>
      </w:rPr>
      <w:t>WEB TECHNOLOGIES 2026  |  C11  | 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C11_PREPARATION_TRANSFER</dc:title>
  <dc:subject>C11 local teaching package</dc:subject>
  <dc:creator>TEHNOLOGII WEB 2026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