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S14 — Production Evidence Review</w:t>
      </w:r>
    </w:p>
    <w:p>
      <w:pPr>
        <w:jc w:val="center"/>
      </w:pPr>
      <w:r>
        <w:rPr>
          <w:i/>
        </w:rPr>
        <w:t>Required capstone review · structural table, not a release certificate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</w:pPr>
      <w:r>
        <w:t>Required row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01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1757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304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361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01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Next action</w:t>
            </w:r>
          </w:p>
        </w:tc>
        <w:tc>
          <w:tcPr>
            <w:tcW w:type="dxa" w:w="1644"/>
            <w:shd w:fill="D9EAF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Readiness claim</w:t>
            </w:r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Exact locator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pass/fail/unknown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Named owner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Concrete step</w:t>
            </w:r>
          </w:p>
        </w:tc>
        <w:tc>
          <w:tcPr>
            <w:tcW w:type="dxa" w:w="16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Witness boundary</w:t>
            </w:r>
          </w:p>
        </w:tc>
      </w:tr>
    </w:tbl>
    <w:p>
      <w:pPr>
        <w:pStyle w:val="Heading1"/>
      </w:pPr>
      <w:r>
        <w:t>Minimum review inventory</w:t>
      </w:r>
    </w:p>
    <w:p>
      <w:pPr>
        <w:pStyle w:val="ListNumber"/>
      </w:pPr>
      <w:r>
        <w:t>Project identity and reviewed root</w:t>
      </w:r>
    </w:p>
    <w:p>
      <w:pPr>
        <w:pStyle w:val="ListNumber"/>
      </w:pPr>
      <w:r>
        <w:t>Locked installation evidence</w:t>
      </w:r>
    </w:p>
    <w:p>
      <w:pPr>
        <w:pStyle w:val="ListNumber"/>
      </w:pPr>
      <w:r>
        <w:t>Dependency audit evidence</w:t>
      </w:r>
    </w:p>
    <w:p>
      <w:pPr>
        <w:pStyle w:val="ListNumber"/>
      </w:pPr>
      <w:r>
        <w:t>Production build evidence</w:t>
      </w:r>
    </w:p>
    <w:p>
      <w:pPr>
        <w:pStyle w:val="ListNumber"/>
      </w:pPr>
      <w:r>
        <w:t>Runtime health and cleanup</w:t>
      </w:r>
    </w:p>
    <w:p>
      <w:pPr>
        <w:pStyle w:val="ListNumber"/>
      </w:pPr>
      <w:r>
        <w:t>Structured logs and redaction</w:t>
      </w:r>
    </w:p>
    <w:p>
      <w:pPr>
        <w:pStyle w:val="ListNumber"/>
      </w:pPr>
      <w:r>
        <w:t>Configuration, secrets and ignored artefacts</w:t>
      </w:r>
    </w:p>
    <w:p>
      <w:pPr>
        <w:pStyle w:val="ListNumber"/>
      </w:pPr>
      <w:r>
        <w:t>HTTP error shape and security headers</w:t>
      </w:r>
    </w:p>
    <w:p>
      <w:pPr>
        <w:pStyle w:val="ListNumber"/>
      </w:pPr>
      <w:r>
        <w:t>Deployment, TLS and proxy evidence</w:t>
      </w:r>
    </w:p>
    <w:p>
      <w:pPr>
        <w:pStyle w:val="ListNumber"/>
      </w:pPr>
      <w:r>
        <w:t>Exceptions with owner, reason, expiry and residual risk</w:t>
      </w:r>
    </w:p>
    <w:p>
      <w:pPr>
        <w:pStyle w:val="Heading1"/>
      </w:pPr>
      <w:r>
        <w:t>Decision rule</w:t>
      </w:r>
    </w:p>
    <w:p>
      <w:r>
        <w:t>Use UNKNOWN when evidence was not obtained, a tool failed or the source is historical. A structural validator, copied PASS value or attractive table cannot authenticate execution, deployment or publication readiness.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S14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7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