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b/>
        </w:rPr>
        <w:t>Preparation and transfer — Course 2</w:t>
      </w:r>
    </w:p>
    <w:p>
      <w:r>
        <w:rPr>
          <w:b/>
          <w:color w:val="536069"/>
        </w:rPr>
        <w:t>Bridge to U02: JavaScript for reading and modifying programs</w:t>
      </w:r>
    </w:p>
    <w:p>
      <w:r>
        <w:rPr>
          <w:i/>
        </w:rPr>
        <w:t>TEHNOLOGII WEB 2026 · EN-GB edition · v1.1 · 26 September 2026</w:t>
      </w:r>
    </w:p>
    <w:p>
      <w:r/>
    </w:p>
    <w:p>
      <w:pPr>
        <w:pStyle w:val="Heading1"/>
      </w:pPr>
      <w:r>
        <w:t>Why does U02 come next?</w:t>
      </w:r>
    </w:p>
    <w:p>
      <w:r>
        <w:t>HTML and CSS define meaning and presentation constraints. U02 introduces reading a JavaScript program, tracing data and modifying behaviour within a bounded scope. This material explicitly corrects the old U04 reading list that pointed directly to Node/Express.</w:t>
      </w:r>
    </w:p>
    <w:p>
      <w:pPr>
        <w:pStyle w:val="Heading1"/>
      </w:pPr>
      <w:r>
        <w:t>Short task</w:t>
      </w:r>
    </w:p>
    <w:p>
      <w:pPr>
        <w:pStyle w:val="ListNumber"/>
      </w:pPr>
      <w:r>
        <w:t>Choose one control from the expense-claim interface.</w:t>
      </w:r>
    </w:p>
    <w:p>
      <w:pPr>
        <w:pStyle w:val="ListNumber"/>
      </w:pPr>
      <w:r>
        <w:t>Write its initial state and the event that may change it.</w:t>
      </w:r>
    </w:p>
    <w:p>
      <w:pPr>
        <w:pStyle w:val="ListNumber"/>
      </w:pPr>
      <w:r>
        <w:t>Separate what belongs to HTML, CSS and JavaScript behaviour.</w:t>
      </w:r>
    </w:p>
    <w:p>
      <w:pPr>
        <w:pStyle w:val="ListNumber"/>
      </w:pPr>
      <w:r>
        <w:t>Write one question that can be checked by reading the code without executing it.</w:t>
      </w:r>
    </w:p>
    <w:p>
      <w:pPr>
        <w:pStyle w:val="Heading1"/>
      </w:pPr>
      <w:r>
        <w:t>Optional Gemini prompt</w:t>
      </w:r>
    </w:p>
    <w:p>
      <w:r>
        <w:t>Explain the supplied JavaScript fragment without inventing execution. For each claim identify the source line, classify it as OBSERVED IN SOURCE / INFERRED / UNKNOWN and propose one check.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rPr>
          <w:tblHeader w:val="true"/>
        </w:trPr>
        <w:tc>
          <w:tcPr>
            <w:tcW w:type="dxa" w:w="10482"/>
            <w:shd w:fill="FFF7ED"/>
          </w:tcPr>
          <w:p>
            <w:r>
              <w:rPr>
                <w:b/>
              </w:rPr>
              <w:t xml:space="preserve">Data protection: </w:t>
            </w:r>
            <w:r>
              <w:t>Do not send personal data, tokens, private code or institutional information to an external LLM.</w:t>
            </w:r>
          </w:p>
        </w:tc>
      </w:tr>
    </w:tbl>
    <w:p>
      <w:pPr>
        <w:pStyle w:val="Heading1"/>
      </w:pPr>
      <w:r>
        <w:t>Optional transfer extension</w:t>
      </w:r>
    </w:p>
    <w:p>
      <w:r>
        <w:t>Choose one defect from the interface autopsy and specify an imaginary JavaScript function that detects it. Do not implement it; define only the input, output and one counterexample.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241"/>
          </w:tcPr>
          <w:p>
            <w:r>
              <w:rPr>
                <w:b/>
              </w:rPr>
              <w:t>Response</w:t>
            </w:r>
          </w:p>
        </w:tc>
      </w:tr>
      <w:tr>
        <w:tc>
          <w:tcPr>
            <w:tcW w:type="dxa" w:w="5241"/>
          </w:tcPr>
          <w:p>
            <w:r>
              <w:t>Input</w:t>
            </w:r>
          </w:p>
        </w:tc>
        <w:tc>
          <w:tcPr>
            <w:tcW w:type="dxa" w:w="5241"/>
          </w:tcPr>
          <w:p>
            <w:r/>
          </w:p>
        </w:tc>
      </w:tr>
      <w:tr>
        <w:tc>
          <w:tcPr>
            <w:tcW w:type="dxa" w:w="5241"/>
          </w:tcPr>
          <w:p>
            <w:r>
              <w:t>Output</w:t>
            </w:r>
          </w:p>
        </w:tc>
        <w:tc>
          <w:tcPr>
            <w:tcW w:type="dxa" w:w="5241"/>
          </w:tcPr>
          <w:p>
            <w:r/>
          </w:p>
        </w:tc>
      </w:tr>
      <w:tr>
        <w:tc>
          <w:tcPr>
            <w:tcW w:type="dxa" w:w="5241"/>
          </w:tcPr>
          <w:p>
            <w:r>
              <w:t>Counterexample</w:t>
            </w:r>
          </w:p>
        </w:tc>
        <w:tc>
          <w:tcPr>
            <w:tcW w:type="dxa" w:w="5241"/>
          </w:tcPr>
          <w:p>
            <w:r/>
          </w:p>
        </w:tc>
      </w:tr>
      <w:tr>
        <w:tc>
          <w:tcPr>
            <w:tcW w:type="dxa" w:w="5241"/>
          </w:tcPr>
          <w:p>
            <w:r>
              <w:t>Required evidence</w:t>
            </w:r>
          </w:p>
        </w:tc>
        <w:tc>
          <w:tcPr>
            <w:tcW w:type="dxa" w:w="5241"/>
          </w:tcPr>
          <w:p>
            <w:r/>
          </w:p>
        </w:tc>
      </w:tr>
    </w:tbl>
    <w:sectPr w:rsidR="00FC693F" w:rsidRPr="0006063C" w:rsidSect="00034616">
      <w:footerReference w:type="default" r:id="rId9"/>
      <w:headerReference w:type="default" r:id="rId10"/>
      <w:pgSz w:w="12240" w:h="15840"/>
      <w:pgMar w:top="822" w:right="879" w:bottom="765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TEHNOLOGII WEB 2026 · C02 v1.1 · EN-GB · </w:t>
    </w: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 w:eastAsia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F766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C2410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6D28D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 w:eastAsia="Liberation Sans"/>
      <w:color w:val="1A252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Preparation and transfer — Course 2</dc:title>
  <dc:subject>C02 — Semantic HTML, CSS, responsive UI and accessibility</dc:subject>
  <dc:creator>TEHNOLOGII WEB 2026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en-GB</dc:language>
</cp:coreProperties>
</file>