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S12 — Guided P01 Trace</w:t>
      </w:r>
    </w:p>
    <w:p>
      <w:pPr>
        <w:jc w:val="center"/>
      </w:pPr>
      <w:r>
        <w:rPr>
          <w:i/>
        </w:rPr>
        <w:t>HTTP acceptance to targeted WebSocket result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pPr>
        <w:pStyle w:val="Heading1"/>
      </w:pPr>
      <w:r>
        <w:t>1. Scope</w:t>
      </w:r>
    </w:p>
    <w:p>
      <w:r>
        <w:t>This document records a guided trace. It does not require a second complete implementation and does not start a server.</w:t>
      </w:r>
    </w:p>
    <w:p>
      <w:pPr>
        <w:pStyle w:val="Heading1"/>
      </w:pPr>
      <w:r>
        <w:t>2. Required sequence</w:t>
      </w:r>
    </w:p>
    <w:p>
      <w:pPr>
        <w:pStyle w:val="ListNumber"/>
      </w:pPr>
      <w:r>
        <w:t>Record HTTP validation and the meaning of 202 Accepted.</w:t>
      </w:r>
    </w:p>
    <w:p>
      <w:pPr>
        <w:pStyle w:val="ListNumber"/>
      </w:pPr>
      <w:r>
        <w:t>Record principal, connection and request identities with values redacted.</w:t>
      </w:r>
    </w:p>
    <w:p>
      <w:pPr>
        <w:pStyle w:val="ListNumber"/>
      </w:pPr>
      <w:r>
        <w:t>Explain the registered-principal gate before scheduling.</w:t>
      </w:r>
    </w:p>
    <w:p>
      <w:pPr>
        <w:pStyle w:val="ListNumber"/>
      </w:pPr>
      <w:r>
        <w:t>Record one targeted success or failure and why broadcast is forbidden.</w:t>
      </w:r>
    </w:p>
    <w:p>
      <w:pPr>
        <w:pStyle w:val="ListNumber"/>
      </w:pPr>
      <w:r>
        <w:t>Record replacement, disconnect, duplicate completion and pending cleanup.</w:t>
      </w:r>
    </w:p>
    <w:p>
      <w:pPr>
        <w:pStyle w:val="ListNumber"/>
      </w:pPr>
      <w:r>
        <w:t>State whether the evidence is source analysis, a deterministic model or a real protocol trace.</w:t>
      </w:r>
    </w:p>
    <w:p>
      <w:pPr>
        <w:pStyle w:val="Heading1"/>
      </w:pPr>
      <w:r>
        <w:t>3. Evidence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01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1701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Prediction</w:t>
            </w:r>
          </w:p>
        </w:tc>
        <w:tc>
          <w:tcPr>
            <w:tcW w:type="dxa" w:w="2835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Observation or pending state</w:t>
            </w:r>
          </w:p>
        </w:tc>
        <w:tc>
          <w:tcPr>
            <w:tcW w:type="dxa" w:w="1417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Locator</w:t>
            </w:r>
          </w:p>
        </w:tc>
        <w:tc>
          <w:tcPr>
            <w:tcW w:type="dxa" w:w="1984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Limitation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HTTP acceptance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Registration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Scheduling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Targeted result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Cleanup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4. Privacy check</w:t>
      </w:r>
    </w:p>
    <w:p>
      <w:pPr>
        <w:pStyle w:val="ListBullet"/>
      </w:pPr>
      <w:r>
        <w:t>No credentials, cookies or session values.</w:t>
      </w:r>
    </w:p>
    <w:p>
      <w:pPr>
        <w:pStyle w:val="ListBullet"/>
      </w:pPr>
      <w:r>
        <w:t>No raw WebSocket URL or connection token.</w:t>
      </w:r>
    </w:p>
    <w:p>
      <w:pPr>
        <w:pStyle w:val="ListBullet"/>
      </w:pPr>
      <w:r>
        <w:t>No institutional/private data beyond the approved student code.</w:t>
      </w:r>
    </w:p>
    <w:p>
      <w:pPr>
        <w:pStyle w:val="ListBullet"/>
      </w:pPr>
      <w:r>
        <w:t>No model output labelled as live protocol evidence.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S12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