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S12 — Correlated Requests and Asynchronous Evidence</w:t>
      </w:r>
    </w:p>
    <w:p>
      <w:pPr>
        <w:jc w:val="center"/>
      </w:pPr>
      <w:r>
        <w:rPr>
          <w:i/>
        </w:rPr>
        <w:t>Student guide · British English</w:t>
      </w:r>
    </w:p>
    <w:p>
      <w:pPr>
        <w:jc w:val="center"/>
      </w:pPr>
      <w:r>
        <w:rPr>
          <w:b/>
          <w:color w:val="096978"/>
        </w:rPr>
        <w:t>WEB TECHNOLOGIES 2026 · WIP/PREVIEW</w:t>
      </w:r>
    </w:p>
    <w:p>
      <w:pPr>
        <w:pStyle w:val="Heading1"/>
      </w:pPr>
      <w:r>
        <w:t>1. Scope</w:t>
      </w:r>
    </w:p>
    <w:p>
      <w:r>
        <w:t>P03 is the complete central implementation. P01 is a guided trace and P02 is optional advanced. The meeting contains 60 minutes of content and stops explicitly at minute 60.</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361"/>
            <w:shd w:fill="D9EAF0"/>
            <w:tcMar>
              <w:top w:w="80" w:type="dxa"/>
              <w:start w:w="80" w:type="dxa"/>
              <w:bottom w:w="80" w:type="dxa"/>
              <w:end w:w="80" w:type="dxa"/>
            </w:tcMar>
            <w:vAlign w:val="center"/>
          </w:tcPr>
          <w:p>
            <w:r>
              <w:rPr>
                <w:b/>
              </w:rPr>
              <w:t>Role</w:t>
            </w:r>
          </w:p>
        </w:tc>
        <w:tc>
          <w:tcPr>
            <w:tcW w:type="dxa" w:w="3175"/>
            <w:shd w:fill="D9EAF0"/>
            <w:tcMar>
              <w:top w:w="80" w:type="dxa"/>
              <w:start w:w="80" w:type="dxa"/>
              <w:bottom w:w="80" w:type="dxa"/>
              <w:end w:w="80" w:type="dxa"/>
            </w:tcMar>
            <w:vAlign w:val="center"/>
          </w:tcPr>
          <w:p>
            <w:r>
              <w:rPr>
                <w:b/>
              </w:rPr>
              <w:t>Project</w:t>
            </w:r>
          </w:p>
        </w:tc>
        <w:tc>
          <w:tcPr>
            <w:tcW w:type="dxa" w:w="4535"/>
            <w:shd w:fill="D9EAF0"/>
            <w:tcMar>
              <w:top w:w="80" w:type="dxa"/>
              <w:start w:w="80" w:type="dxa"/>
              <w:bottom w:w="80" w:type="dxa"/>
              <w:end w:w="80" w:type="dxa"/>
            </w:tcMar>
            <w:vAlign w:val="center"/>
          </w:tcPr>
          <w:p>
            <w:r>
              <w:rPr>
                <w:b/>
              </w:rPr>
              <w:t>Required result</w:t>
            </w:r>
          </w:p>
        </w:tc>
      </w:tr>
      <w:tr>
        <w:tc>
          <w:tcPr>
            <w:tcW w:type="dxa" w:w="1361"/>
            <w:tcMar>
              <w:top w:w="80" w:type="dxa"/>
              <w:start w:w="80" w:type="dxa"/>
              <w:bottom w:w="80" w:type="dxa"/>
              <w:end w:w="80" w:type="dxa"/>
            </w:tcMar>
            <w:vAlign w:val="top"/>
          </w:tcPr>
          <w:p>
            <w:r>
              <w:t>Core</w:t>
            </w:r>
          </w:p>
        </w:tc>
        <w:tc>
          <w:tcPr>
            <w:tcW w:type="dxa" w:w="3175"/>
            <w:tcMar>
              <w:top w:w="80" w:type="dxa"/>
              <w:start w:w="80" w:type="dxa"/>
              <w:bottom w:w="80" w:type="dxa"/>
              <w:end w:w="80" w:type="dxa"/>
            </w:tcMar>
            <w:vAlign w:val="top"/>
          </w:tcPr>
          <w:p>
            <w:r>
              <w:t>P03 Correlated Request Dispatcher</w:t>
            </w:r>
          </w:p>
        </w:tc>
        <w:tc>
          <w:tcPr>
            <w:tcW w:type="dxa" w:w="4535"/>
            <w:tcMar>
              <w:top w:w="80" w:type="dxa"/>
              <w:start w:w="80" w:type="dxa"/>
              <w:bottom w:w="80" w:type="dxa"/>
              <w:end w:w="80" w:type="dxa"/>
            </w:tcMar>
            <w:vAlign w:val="top"/>
          </w:tcPr>
          <w:p>
            <w:r>
              <w:t>Complete student/src/request-dispatcher.mjs and record terminal-path evidence</w:t>
            </w:r>
          </w:p>
        </w:tc>
      </w:tr>
      <w:tr>
        <w:tc>
          <w:tcPr>
            <w:tcW w:type="dxa" w:w="1361"/>
            <w:tcMar>
              <w:top w:w="80" w:type="dxa"/>
              <w:start w:w="80" w:type="dxa"/>
              <w:bottom w:w="80" w:type="dxa"/>
              <w:end w:w="80" w:type="dxa"/>
            </w:tcMar>
            <w:vAlign w:val="top"/>
          </w:tcPr>
          <w:p>
            <w:r>
              <w:t>Guided</w:t>
            </w:r>
          </w:p>
        </w:tc>
        <w:tc>
          <w:tcPr>
            <w:tcW w:type="dxa" w:w="3175"/>
            <w:tcMar>
              <w:top w:w="80" w:type="dxa"/>
              <w:start w:w="80" w:type="dxa"/>
              <w:bottom w:w="80" w:type="dxa"/>
              <w:end w:w="80" w:type="dxa"/>
            </w:tcMar>
            <w:vAlign w:val="top"/>
          </w:tcPr>
          <w:p>
            <w:r>
              <w:t>P01 HTTP to WebSocket Reply</w:t>
            </w:r>
          </w:p>
        </w:tc>
        <w:tc>
          <w:tcPr>
            <w:tcW w:type="dxa" w:w="4535"/>
            <w:tcMar>
              <w:top w:w="80" w:type="dxa"/>
              <w:start w:w="80" w:type="dxa"/>
              <w:bottom w:w="80" w:type="dxa"/>
              <w:end w:w="80" w:type="dxa"/>
            </w:tcMar>
            <w:vAlign w:val="top"/>
          </w:tcPr>
          <w:p>
            <w:r>
              <w:t>Trace acceptance, identity, targeted result and cleanup</w:t>
            </w:r>
          </w:p>
        </w:tc>
      </w:tr>
      <w:tr>
        <w:tc>
          <w:tcPr>
            <w:tcW w:type="dxa" w:w="1361"/>
            <w:tcMar>
              <w:top w:w="80" w:type="dxa"/>
              <w:start w:w="80" w:type="dxa"/>
              <w:bottom w:w="80" w:type="dxa"/>
              <w:end w:w="80" w:type="dxa"/>
            </w:tcMar>
            <w:vAlign w:val="top"/>
          </w:tcPr>
          <w:p>
            <w:r>
              <w:t>Optional</w:t>
            </w:r>
          </w:p>
        </w:tc>
        <w:tc>
          <w:tcPr>
            <w:tcW w:type="dxa" w:w="3175"/>
            <w:tcMar>
              <w:top w:w="80" w:type="dxa"/>
              <w:start w:w="80" w:type="dxa"/>
              <w:bottom w:w="80" w:type="dxa"/>
              <w:end w:w="80" w:type="dxa"/>
            </w:tcMar>
            <w:vAlign w:val="top"/>
          </w:tcPr>
          <w:p>
            <w:r>
              <w:t>P02 Queued Job Runner</w:t>
            </w:r>
          </w:p>
        </w:tc>
        <w:tc>
          <w:tcPr>
            <w:tcW w:type="dxa" w:w="4535"/>
            <w:tcMar>
              <w:top w:w="80" w:type="dxa"/>
              <w:start w:w="80" w:type="dxa"/>
              <w:bottom w:w="80" w:type="dxa"/>
              <w:end w:w="80" w:type="dxa"/>
            </w:tcMar>
            <w:vAlign w:val="top"/>
          </w:tcPr>
          <w:p>
            <w:r>
              <w:t>Only in separately prepared Redis/BullMQ infrastructure</w:t>
            </w:r>
          </w:p>
        </w:tc>
      </w:tr>
    </w:tbl>
    <w:p>
      <w:pPr>
        <w:pStyle w:val="Heading1"/>
      </w:pPr>
      <w:r>
        <w:t>2. Sixty-minute route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191"/>
            <w:shd w:fill="D9EAF0"/>
            <w:tcMar>
              <w:top w:w="80" w:type="dxa"/>
              <w:start w:w="80" w:type="dxa"/>
              <w:bottom w:w="80" w:type="dxa"/>
              <w:end w:w="80" w:type="dxa"/>
            </w:tcMar>
            <w:vAlign w:val="center"/>
          </w:tcPr>
          <w:p>
            <w:r>
              <w:rPr>
                <w:b/>
              </w:rPr>
              <w:t>Minutes</w:t>
            </w:r>
          </w:p>
        </w:tc>
        <w:tc>
          <w:tcPr>
            <w:tcW w:type="dxa" w:w="2551"/>
            <w:shd w:fill="D9EAF0"/>
            <w:tcMar>
              <w:top w:w="80" w:type="dxa"/>
              <w:start w:w="80" w:type="dxa"/>
              <w:bottom w:w="80" w:type="dxa"/>
              <w:end w:w="80" w:type="dxa"/>
            </w:tcMar>
            <w:vAlign w:val="center"/>
          </w:tcPr>
          <w:p>
            <w:r>
              <w:rPr>
                <w:b/>
              </w:rPr>
              <w:t>Focus</w:t>
            </w:r>
          </w:p>
        </w:tc>
        <w:tc>
          <w:tcPr>
            <w:tcW w:type="dxa" w:w="5329"/>
            <w:shd w:fill="D9EAF0"/>
            <w:tcMar>
              <w:top w:w="80" w:type="dxa"/>
              <w:start w:w="80" w:type="dxa"/>
              <w:bottom w:w="80" w:type="dxa"/>
              <w:end w:w="80" w:type="dxa"/>
            </w:tcMar>
            <w:vAlign w:val="center"/>
          </w:tcPr>
          <w:p>
            <w:r>
              <w:rPr>
                <w:b/>
              </w:rPr>
              <w:t>Evidence boundary</w:t>
            </w:r>
          </w:p>
        </w:tc>
      </w:tr>
      <w:tr>
        <w:tc>
          <w:tcPr>
            <w:tcW w:type="dxa" w:w="1191"/>
            <w:tcMar>
              <w:top w:w="80" w:type="dxa"/>
              <w:start w:w="80" w:type="dxa"/>
              <w:bottom w:w="80" w:type="dxa"/>
              <w:end w:w="80" w:type="dxa"/>
            </w:tcMar>
            <w:vAlign w:val="top"/>
          </w:tcPr>
          <w:p>
            <w:r>
              <w:t>00–05</w:t>
            </w:r>
          </w:p>
        </w:tc>
        <w:tc>
          <w:tcPr>
            <w:tcW w:type="dxa" w:w="2551"/>
            <w:tcMar>
              <w:top w:w="80" w:type="dxa"/>
              <w:start w:w="80" w:type="dxa"/>
              <w:bottom w:w="80" w:type="dxa"/>
              <w:end w:w="80" w:type="dxa"/>
            </w:tcMar>
            <w:vAlign w:val="top"/>
          </w:tcPr>
          <w:p>
            <w:r>
              <w:t>Identity and execution boundary</w:t>
            </w:r>
          </w:p>
        </w:tc>
        <w:tc>
          <w:tcPr>
            <w:tcW w:type="dxa" w:w="5329"/>
            <w:tcMar>
              <w:top w:w="80" w:type="dxa"/>
              <w:start w:w="80" w:type="dxa"/>
              <w:bottom w:w="80" w:type="dxa"/>
              <w:end w:w="80" w:type="dxa"/>
            </w:tcMar>
            <w:vAlign w:val="top"/>
          </w:tcPr>
          <w:p>
            <w:r>
              <w:t>Record package, source identity, actual environment and permitted file.</w:t>
            </w:r>
          </w:p>
        </w:tc>
      </w:tr>
      <w:tr>
        <w:tc>
          <w:tcPr>
            <w:tcW w:type="dxa" w:w="1191"/>
            <w:tcMar>
              <w:top w:w="80" w:type="dxa"/>
              <w:start w:w="80" w:type="dxa"/>
              <w:bottom w:w="80" w:type="dxa"/>
              <w:end w:w="80" w:type="dxa"/>
            </w:tcMar>
            <w:vAlign w:val="top"/>
          </w:tcPr>
          <w:p>
            <w:r>
              <w:t>05–12</w:t>
            </w:r>
          </w:p>
        </w:tc>
        <w:tc>
          <w:tcPr>
            <w:tcW w:type="dxa" w:w="2551"/>
            <w:tcMar>
              <w:top w:w="80" w:type="dxa"/>
              <w:start w:w="80" w:type="dxa"/>
              <w:bottom w:w="80" w:type="dxa"/>
              <w:end w:w="80" w:type="dxa"/>
            </w:tcMar>
            <w:vAlign w:val="top"/>
          </w:tcPr>
          <w:p>
            <w:r>
              <w:t>Lifecycle prediction</w:t>
            </w:r>
          </w:p>
        </w:tc>
        <w:tc>
          <w:tcPr>
            <w:tcW w:type="dxa" w:w="5329"/>
            <w:tcMar>
              <w:top w:w="80" w:type="dxa"/>
              <w:start w:w="80" w:type="dxa"/>
              <w:bottom w:w="80" w:type="dxa"/>
              <w:end w:w="80" w:type="dxa"/>
            </w:tcMar>
            <w:vAlign w:val="top"/>
          </w:tcPr>
          <w:p>
            <w:r>
              <w:t>Map requestId, pending state, terminal paths and zero-resource invariant.</w:t>
            </w:r>
          </w:p>
        </w:tc>
      </w:tr>
      <w:tr>
        <w:tc>
          <w:tcPr>
            <w:tcW w:type="dxa" w:w="1191"/>
            <w:tcMar>
              <w:top w:w="80" w:type="dxa"/>
              <w:start w:w="80" w:type="dxa"/>
              <w:bottom w:w="80" w:type="dxa"/>
              <w:end w:w="80" w:type="dxa"/>
            </w:tcMar>
            <w:vAlign w:val="top"/>
          </w:tcPr>
          <w:p>
            <w:r>
              <w:t>12–30</w:t>
            </w:r>
          </w:p>
        </w:tc>
        <w:tc>
          <w:tcPr>
            <w:tcW w:type="dxa" w:w="2551"/>
            <w:tcMar>
              <w:top w:w="80" w:type="dxa"/>
              <w:start w:w="80" w:type="dxa"/>
              <w:bottom w:w="80" w:type="dxa"/>
              <w:end w:w="80" w:type="dxa"/>
            </w:tcMar>
            <w:vAlign w:val="top"/>
          </w:tcPr>
          <w:p>
            <w:r>
              <w:t>Individual P03 implementation segment</w:t>
            </w:r>
          </w:p>
        </w:tc>
        <w:tc>
          <w:tcPr>
            <w:tcW w:type="dxa" w:w="5329"/>
            <w:tcMar>
              <w:top w:w="80" w:type="dxa"/>
              <w:start w:w="80" w:type="dxa"/>
              <w:bottom w:w="80" w:type="dxa"/>
              <w:end w:w="80" w:type="dxa"/>
            </w:tcMar>
            <w:vAlign w:val="top"/>
          </w:tcPr>
          <w:p>
            <w:r>
              <w:t>Edit only student/src/request-dispatcher.mjs; segment is not the full 55–65-minute project.</w:t>
            </w:r>
          </w:p>
        </w:tc>
      </w:tr>
      <w:tr>
        <w:tc>
          <w:tcPr>
            <w:tcW w:type="dxa" w:w="1191"/>
            <w:tcMar>
              <w:top w:w="80" w:type="dxa"/>
              <w:start w:w="80" w:type="dxa"/>
              <w:bottom w:w="80" w:type="dxa"/>
              <w:end w:w="80" w:type="dxa"/>
            </w:tcMar>
            <w:vAlign w:val="top"/>
          </w:tcPr>
          <w:p>
            <w:r>
              <w:t>30–39</w:t>
            </w:r>
          </w:p>
        </w:tc>
        <w:tc>
          <w:tcPr>
            <w:tcW w:type="dxa" w:w="2551"/>
            <w:tcMar>
              <w:top w:w="80" w:type="dxa"/>
              <w:start w:w="80" w:type="dxa"/>
              <w:bottom w:w="80" w:type="dxa"/>
              <w:end w:w="80" w:type="dxa"/>
            </w:tcMar>
            <w:vAlign w:val="top"/>
          </w:tcPr>
          <w:p>
            <w:r>
              <w:t>Independent P03 observations</w:t>
            </w:r>
          </w:p>
        </w:tc>
        <w:tc>
          <w:tcPr>
            <w:tcW w:type="dxa" w:w="5329"/>
            <w:tcMar>
              <w:top w:w="80" w:type="dxa"/>
              <w:start w:w="80" w:type="dxa"/>
              <w:bottom w:w="80" w:type="dxa"/>
              <w:end w:w="80" w:type="dxa"/>
            </w:tcMar>
            <w:vAlign w:val="top"/>
          </w:tcPr>
          <w:p>
            <w:r>
              <w:t>Out-of-order, synchronous reply, timeout, abort, close, dispose and zero-count evidence.</w:t>
            </w:r>
          </w:p>
        </w:tc>
      </w:tr>
      <w:tr>
        <w:tc>
          <w:tcPr>
            <w:tcW w:type="dxa" w:w="1191"/>
            <w:tcMar>
              <w:top w:w="80" w:type="dxa"/>
              <w:start w:w="80" w:type="dxa"/>
              <w:bottom w:w="80" w:type="dxa"/>
              <w:end w:w="80" w:type="dxa"/>
            </w:tcMar>
            <w:vAlign w:val="top"/>
          </w:tcPr>
          <w:p>
            <w:r>
              <w:t>39–45</w:t>
            </w:r>
          </w:p>
        </w:tc>
        <w:tc>
          <w:tcPr>
            <w:tcW w:type="dxa" w:w="2551"/>
            <w:tcMar>
              <w:top w:w="80" w:type="dxa"/>
              <w:start w:w="80" w:type="dxa"/>
              <w:bottom w:w="80" w:type="dxa"/>
              <w:end w:w="80" w:type="dxa"/>
            </w:tcMar>
            <w:vAlign w:val="top"/>
          </w:tcPr>
          <w:p>
            <w:r>
              <w:t>Bounded Gemini critique</w:t>
            </w:r>
          </w:p>
        </w:tc>
        <w:tc>
          <w:tcPr>
            <w:tcW w:type="dxa" w:w="5329"/>
            <w:tcMar>
              <w:top w:w="80" w:type="dxa"/>
              <w:start w:w="80" w:type="dxa"/>
              <w:bottom w:w="80" w:type="dxa"/>
              <w:end w:w="80" w:type="dxa"/>
            </w:tcMar>
            <w:vAlign w:val="top"/>
          </w:tcPr>
          <w:p>
            <w:r>
              <w:t>One sanitised claim and minimal excerpt; actual exchange or visible pending state.</w:t>
            </w:r>
          </w:p>
        </w:tc>
      </w:tr>
      <w:tr>
        <w:tc>
          <w:tcPr>
            <w:tcW w:type="dxa" w:w="1191"/>
            <w:tcMar>
              <w:top w:w="80" w:type="dxa"/>
              <w:start w:w="80" w:type="dxa"/>
              <w:bottom w:w="80" w:type="dxa"/>
              <w:end w:w="80" w:type="dxa"/>
            </w:tcMar>
            <w:vAlign w:val="top"/>
          </w:tcPr>
          <w:p>
            <w:r>
              <w:t>45–50</w:t>
            </w:r>
          </w:p>
        </w:tc>
        <w:tc>
          <w:tcPr>
            <w:tcW w:type="dxa" w:w="2551"/>
            <w:tcMar>
              <w:top w:w="80" w:type="dxa"/>
              <w:start w:w="80" w:type="dxa"/>
              <w:bottom w:w="80" w:type="dxa"/>
              <w:end w:w="80" w:type="dxa"/>
            </w:tcMar>
            <w:vAlign w:val="top"/>
          </w:tcPr>
          <w:p>
            <w:r>
              <w:t>Independent check and verdict</w:t>
            </w:r>
          </w:p>
        </w:tc>
        <w:tc>
          <w:tcPr>
            <w:tcW w:type="dxa" w:w="5329"/>
            <w:tcMar>
              <w:top w:w="80" w:type="dxa"/>
              <w:start w:w="80" w:type="dxa"/>
              <w:bottom w:w="80" w:type="dxa"/>
              <w:end w:w="80" w:type="dxa"/>
            </w:tcMar>
            <w:vAlign w:val="top"/>
          </w:tcPr>
          <w:p>
            <w:r>
              <w:t>ACCEPTED, REJECTED, PARTIALLY ACCEPTED or UNKNOWN with correction and limitation.</w:t>
            </w:r>
          </w:p>
        </w:tc>
      </w:tr>
      <w:tr>
        <w:tc>
          <w:tcPr>
            <w:tcW w:type="dxa" w:w="1191"/>
            <w:tcMar>
              <w:top w:w="80" w:type="dxa"/>
              <w:start w:w="80" w:type="dxa"/>
              <w:bottom w:w="80" w:type="dxa"/>
              <w:end w:w="80" w:type="dxa"/>
            </w:tcMar>
            <w:vAlign w:val="top"/>
          </w:tcPr>
          <w:p>
            <w:r>
              <w:t>50–55</w:t>
            </w:r>
          </w:p>
        </w:tc>
        <w:tc>
          <w:tcPr>
            <w:tcW w:type="dxa" w:w="2551"/>
            <w:tcMar>
              <w:top w:w="80" w:type="dxa"/>
              <w:start w:w="80" w:type="dxa"/>
              <w:bottom w:w="80" w:type="dxa"/>
              <w:end w:w="80" w:type="dxa"/>
            </w:tcMar>
            <w:vAlign w:val="top"/>
          </w:tcPr>
          <w:p>
            <w:r>
              <w:t>P01 guided trace and P02 hand-off</w:t>
            </w:r>
          </w:p>
        </w:tc>
        <w:tc>
          <w:tcPr>
            <w:tcW w:type="dxa" w:w="5329"/>
            <w:tcMar>
              <w:top w:w="80" w:type="dxa"/>
              <w:start w:w="80" w:type="dxa"/>
              <w:bottom w:w="80" w:type="dxa"/>
              <w:end w:w="80" w:type="dxa"/>
            </w:tcMar>
            <w:vAlign w:val="top"/>
          </w:tcPr>
          <w:p>
            <w:r>
              <w:t>HTTP acceptance to targeted WebSocket result; P02 remains optional advanced.</w:t>
            </w:r>
          </w:p>
        </w:tc>
      </w:tr>
      <w:tr>
        <w:tc>
          <w:tcPr>
            <w:tcW w:type="dxa" w:w="1191"/>
            <w:tcMar>
              <w:top w:w="80" w:type="dxa"/>
              <w:start w:w="80" w:type="dxa"/>
              <w:bottom w:w="80" w:type="dxa"/>
              <w:end w:w="80" w:type="dxa"/>
            </w:tcMar>
            <w:vAlign w:val="top"/>
          </w:tcPr>
          <w:p>
            <w:r>
              <w:t>55–60</w:t>
            </w:r>
          </w:p>
        </w:tc>
        <w:tc>
          <w:tcPr>
            <w:tcW w:type="dxa" w:w="2551"/>
            <w:tcMar>
              <w:top w:w="80" w:type="dxa"/>
              <w:start w:w="80" w:type="dxa"/>
              <w:bottom w:w="80" w:type="dxa"/>
              <w:end w:w="80" w:type="dxa"/>
            </w:tcMar>
            <w:vAlign w:val="top"/>
          </w:tcPr>
          <w:p>
            <w:r>
              <w:t>Evidence draft and STOP</w:t>
            </w:r>
          </w:p>
        </w:tc>
        <w:tc>
          <w:tcPr>
            <w:tcW w:type="dxa" w:w="5329"/>
            <w:tcMar>
              <w:top w:w="80" w:type="dxa"/>
              <w:start w:w="80" w:type="dxa"/>
              <w:bottom w:w="80" w:type="dxa"/>
              <w:end w:w="80" w:type="dxa"/>
            </w:tcMar>
            <w:vAlign w:val="top"/>
          </w:tcPr>
          <w:p>
            <w:r>
              <w:t>Save honest draft, list unfinished work and stop; no invented deadline.</w:t>
            </w:r>
          </w:p>
        </w:tc>
      </w:tr>
    </w:tbl>
    <w:p>
      <w:pPr>
        <w:pStyle w:val="Heading1"/>
      </w:pPr>
      <w:r>
        <w:t>3. P03 implementation contract</w:t>
      </w:r>
    </w:p>
    <w:p>
      <w:r>
        <w:t>Edit only student/src/request-dispatcher.mjs. The .mjs extension is the actual supplied assessed path. Preserve adapters, errors, tests, package metadata and dependencies.</w:t>
      </w:r>
    </w:p>
    <w:p>
      <w:pPr>
        <w:pStyle w:val="ListBullet"/>
      </w:pPr>
      <w:r>
        <w:t>Validate type, timeout and pre-abort state before sending.</w:t>
      </w:r>
    </w:p>
    <w:p>
      <w:pPr>
        <w:pStyle w:val="ListBullet"/>
      </w:pPr>
      <w:r>
        <w:t>Create the pending entry, timer and abort listener before transport.send.</w:t>
      </w:r>
    </w:p>
    <w:p>
      <w:pPr>
        <w:pStyle w:val="ListBullet"/>
      </w:pPr>
      <w:r>
        <w:t>Use one settlement owner for success, failure, timeout, abort, close and disposal.</w:t>
      </w:r>
    </w:p>
    <w:p>
      <w:pPr>
        <w:pStyle w:val="ListBullet"/>
      </w:pPr>
      <w:r>
        <w:t>Remove pending state, timers and abort listeners exactly once.</w:t>
      </w:r>
    </w:p>
    <w:p>
      <w:pPr>
        <w:pStyle w:val="ListBullet"/>
      </w:pPr>
      <w:r>
        <w:t>Ignore malformed, unknown, duplicate and late messages safely.</w:t>
      </w:r>
    </w:p>
    <w:p>
      <w:pPr>
        <w:pStyle w:val="ListBullet"/>
      </w:pPr>
      <w:r>
        <w:t>Use stable public errors and do not leak raw transport detail.</w:t>
      </w:r>
    </w:p>
    <w:p>
      <w:pPr>
        <w:pStyle w:val="Heading1"/>
      </w:pPr>
      <w:r>
        <w:t>4. Required evidence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D9EAF0"/>
            <w:tcMar>
              <w:top w:w="80" w:type="dxa"/>
              <w:start w:w="80" w:type="dxa"/>
              <w:bottom w:w="80" w:type="dxa"/>
              <w:end w:w="80" w:type="dxa"/>
            </w:tcMar>
            <w:vAlign w:val="center"/>
          </w:tcPr>
          <w:p>
            <w:r>
              <w:rPr>
                <w:b/>
              </w:rPr>
              <w:t>Observation</w:t>
            </w:r>
          </w:p>
        </w:tc>
        <w:tc>
          <w:tcPr>
            <w:tcW w:type="dxa" w:w="3402"/>
            <w:shd w:fill="D9EAF0"/>
            <w:tcMar>
              <w:top w:w="80" w:type="dxa"/>
              <w:start w:w="80" w:type="dxa"/>
              <w:bottom w:w="80" w:type="dxa"/>
              <w:end w:w="80" w:type="dxa"/>
            </w:tcMar>
            <w:vAlign w:val="center"/>
          </w:tcPr>
          <w:p>
            <w:r>
              <w:rPr>
                <w:b/>
              </w:rPr>
              <w:t>Record</w:t>
            </w:r>
          </w:p>
        </w:tc>
        <w:tc>
          <w:tcPr>
            <w:tcW w:type="dxa" w:w="3855"/>
            <w:shd w:fill="D9EAF0"/>
            <w:tcMar>
              <w:top w:w="80" w:type="dxa"/>
              <w:start w:w="80" w:type="dxa"/>
              <w:bottom w:w="80" w:type="dxa"/>
              <w:end w:w="80" w:type="dxa"/>
            </w:tcMar>
            <w:vAlign w:val="center"/>
          </w:tcPr>
          <w:p>
            <w:r>
              <w:rPr>
                <w:b/>
              </w:rPr>
              <w:t>Do not claim</w:t>
            </w:r>
          </w:p>
        </w:tc>
      </w:tr>
      <w:tr>
        <w:tc>
          <w:tcPr>
            <w:tcW w:type="dxa" w:w="1814"/>
            <w:tcMar>
              <w:top w:w="80" w:type="dxa"/>
              <w:start w:w="80" w:type="dxa"/>
              <w:bottom w:w="80" w:type="dxa"/>
              <w:end w:w="80" w:type="dxa"/>
            </w:tcMar>
            <w:vAlign w:val="top"/>
          </w:tcPr>
          <w:p>
            <w:r>
              <w:t>Reversed order</w:t>
            </w:r>
          </w:p>
        </w:tc>
        <w:tc>
          <w:tcPr>
            <w:tcW w:type="dxa" w:w="3402"/>
            <w:tcMar>
              <w:top w:w="80" w:type="dxa"/>
              <w:start w:w="80" w:type="dxa"/>
              <w:bottom w:w="80" w:type="dxa"/>
              <w:end w:w="80" w:type="dxa"/>
            </w:tcMar>
            <w:vAlign w:val="top"/>
          </w:tcPr>
          <w:p>
            <w:r>
              <w:t>Request IDs and final result mapping</w:t>
            </w:r>
          </w:p>
        </w:tc>
        <w:tc>
          <w:tcPr>
            <w:tcW w:type="dxa" w:w="3855"/>
            <w:tcMar>
              <w:top w:w="80" w:type="dxa"/>
              <w:start w:w="80" w:type="dxa"/>
              <w:bottom w:w="80" w:type="dxa"/>
              <w:end w:w="80" w:type="dxa"/>
            </w:tcMar>
            <w:vAlign w:val="top"/>
          </w:tcPr>
          <w:p>
            <w:r>
              <w:t>Transport or browser behaviour not actually observed</w:t>
            </w:r>
          </w:p>
        </w:tc>
      </w:tr>
      <w:tr>
        <w:tc>
          <w:tcPr>
            <w:tcW w:type="dxa" w:w="1814"/>
            <w:tcMar>
              <w:top w:w="80" w:type="dxa"/>
              <w:start w:w="80" w:type="dxa"/>
              <w:bottom w:w="80" w:type="dxa"/>
              <w:end w:w="80" w:type="dxa"/>
            </w:tcMar>
            <w:vAlign w:val="top"/>
          </w:tcPr>
          <w:p>
            <w:r>
              <w:t>Synchronous reply</w:t>
            </w:r>
          </w:p>
        </w:tc>
        <w:tc>
          <w:tcPr>
            <w:tcW w:type="dxa" w:w="3402"/>
            <w:tcMar>
              <w:top w:w="80" w:type="dxa"/>
              <w:start w:w="80" w:type="dxa"/>
              <w:bottom w:w="80" w:type="dxa"/>
              <w:end w:w="80" w:type="dxa"/>
            </w:tcMar>
            <w:vAlign w:val="top"/>
          </w:tcPr>
          <w:p>
            <w:r>
              <w:t>Pending-before-send trace</w:t>
            </w:r>
          </w:p>
        </w:tc>
        <w:tc>
          <w:tcPr>
            <w:tcW w:type="dxa" w:w="3855"/>
            <w:tcMar>
              <w:top w:w="80" w:type="dxa"/>
              <w:start w:w="80" w:type="dxa"/>
              <w:bottom w:w="80" w:type="dxa"/>
              <w:end w:w="80" w:type="dxa"/>
            </w:tcMar>
            <w:vAlign w:val="top"/>
          </w:tcPr>
          <w:p>
            <w:r>
              <w:t>A general real WebSocket guarantee</w:t>
            </w:r>
          </w:p>
        </w:tc>
      </w:tr>
      <w:tr>
        <w:tc>
          <w:tcPr>
            <w:tcW w:type="dxa" w:w="1814"/>
            <w:tcMar>
              <w:top w:w="80" w:type="dxa"/>
              <w:start w:w="80" w:type="dxa"/>
              <w:bottom w:w="80" w:type="dxa"/>
              <w:end w:w="80" w:type="dxa"/>
            </w:tcMar>
            <w:vAlign w:val="top"/>
          </w:tcPr>
          <w:p>
            <w:r>
              <w:t>Timeout/abort</w:t>
            </w:r>
          </w:p>
        </w:tc>
        <w:tc>
          <w:tcPr>
            <w:tcW w:type="dxa" w:w="3402"/>
            <w:tcMar>
              <w:top w:w="80" w:type="dxa"/>
              <w:start w:w="80" w:type="dxa"/>
              <w:bottom w:w="80" w:type="dxa"/>
              <w:end w:w="80" w:type="dxa"/>
            </w:tcMar>
            <w:vAlign w:val="top"/>
          </w:tcPr>
          <w:p>
            <w:r>
              <w:t>Error code and zero pending count</w:t>
            </w:r>
          </w:p>
        </w:tc>
        <w:tc>
          <w:tcPr>
            <w:tcW w:type="dxa" w:w="3855"/>
            <w:tcMar>
              <w:top w:w="80" w:type="dxa"/>
              <w:start w:w="80" w:type="dxa"/>
              <w:bottom w:w="80" w:type="dxa"/>
              <w:end w:w="80" w:type="dxa"/>
            </w:tcMar>
            <w:vAlign w:val="top"/>
          </w:tcPr>
          <w:p>
            <w:r>
              <w:t>Remote cancellation</w:t>
            </w:r>
          </w:p>
        </w:tc>
      </w:tr>
      <w:tr>
        <w:tc>
          <w:tcPr>
            <w:tcW w:type="dxa" w:w="1814"/>
            <w:tcMar>
              <w:top w:w="80" w:type="dxa"/>
              <w:start w:w="80" w:type="dxa"/>
              <w:bottom w:w="80" w:type="dxa"/>
              <w:end w:w="80" w:type="dxa"/>
            </w:tcMar>
            <w:vAlign w:val="top"/>
          </w:tcPr>
          <w:p>
            <w:r>
              <w:t>Close/dispose</w:t>
            </w:r>
          </w:p>
        </w:tc>
        <w:tc>
          <w:tcPr>
            <w:tcW w:type="dxa" w:w="3402"/>
            <w:tcMar>
              <w:top w:w="80" w:type="dxa"/>
              <w:start w:w="80" w:type="dxa"/>
              <w:bottom w:w="80" w:type="dxa"/>
              <w:end w:w="80" w:type="dxa"/>
            </w:tcMar>
            <w:vAlign w:val="top"/>
          </w:tcPr>
          <w:p>
            <w:r>
              <w:t>Settled promises and subscriptions</w:t>
            </w:r>
          </w:p>
        </w:tc>
        <w:tc>
          <w:tcPr>
            <w:tcW w:type="dxa" w:w="3855"/>
            <w:tcMar>
              <w:top w:w="80" w:type="dxa"/>
              <w:start w:w="80" w:type="dxa"/>
              <w:bottom w:w="80" w:type="dxa"/>
              <w:end w:w="80" w:type="dxa"/>
            </w:tcMar>
            <w:vAlign w:val="top"/>
          </w:tcPr>
          <w:p>
            <w:r>
              <w:t>Reconnect semantics outside the contract</w:t>
            </w:r>
          </w:p>
        </w:tc>
      </w:tr>
      <w:tr>
        <w:tc>
          <w:tcPr>
            <w:tcW w:type="dxa" w:w="1814"/>
            <w:tcMar>
              <w:top w:w="80" w:type="dxa"/>
              <w:start w:w="80" w:type="dxa"/>
              <w:bottom w:w="80" w:type="dxa"/>
              <w:end w:w="80" w:type="dxa"/>
            </w:tcMar>
            <w:vAlign w:val="top"/>
          </w:tcPr>
          <w:p>
            <w:r>
              <w:t>Integration</w:t>
            </w:r>
          </w:p>
        </w:tc>
        <w:tc>
          <w:tcPr>
            <w:tcW w:type="dxa" w:w="3402"/>
            <w:tcMar>
              <w:top w:w="80" w:type="dxa"/>
              <w:start w:w="80" w:type="dxa"/>
              <w:bottom w:w="80" w:type="dxa"/>
              <w:end w:w="80" w:type="dxa"/>
            </w:tcMar>
            <w:vAlign w:val="top"/>
          </w:tcPr>
          <w:p>
            <w:r>
              <w:t>Actual result or honest block</w:t>
            </w:r>
          </w:p>
        </w:tc>
        <w:tc>
          <w:tcPr>
            <w:tcW w:type="dxa" w:w="3855"/>
            <w:tcMar>
              <w:top w:w="80" w:type="dxa"/>
              <w:start w:w="80" w:type="dxa"/>
              <w:bottom w:w="80" w:type="dxa"/>
              <w:end w:w="80" w:type="dxa"/>
            </w:tcMar>
            <w:vAlign w:val="top"/>
          </w:tcPr>
          <w:p>
            <w:r>
              <w:t>Copied expected output</w:t>
            </w:r>
          </w:p>
        </w:tc>
      </w:tr>
    </w:tbl>
    <w:p>
      <w:pPr>
        <w:pStyle w:val="Heading1"/>
      </w:pPr>
      <w:r>
        <w:t>5. Guided P01 trace</w:t>
      </w:r>
    </w:p>
    <w:p>
      <w:r>
        <w:t>Record HTTP acceptance, authenticated registration, target selection, one later result and cleanup. Redact all live identifiers. 202 Accepted is not completion, and a connection ID is meaningful only with the authenticated principal and current socket.</w:t>
      </w:r>
    </w:p>
    <w:p>
      <w:pPr>
        <w:pStyle w:val="Heading1"/>
      </w:pPr>
      <w:r>
        <w:t>6. Bounded Gemini critique</w:t>
      </w:r>
    </w:p>
    <w:p>
      <w:r>
        <w:t>Ask for criticism of one sanitised, falsifiable lifecycle claim, not the complete solution. Preserve the actual minimal excerpt, perform an independent check and record ACCEPTED, REJECTED, PARTIALLY ACCEPTED or UNKNOWN with correction and limitation.</w:t>
      </w:r>
    </w:p>
    <w:p>
      <w:pPr>
        <w:pStyle w:val="Heading1"/>
      </w:pPr>
      <w:r>
        <w:t>7. Evidence form and one PDF</w:t>
      </w:r>
    </w:p>
    <w:p>
      <w:r>
        <w:t>Use the HTML form for text-only drafting and the DOCX form for genuine captures. Imported JSON is an unverified draft and resets declarations and PDF/submission states. Review every page of the actual PDF before submission.</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WEB TECHNOLOGIES 2026 · S12 · WIP/PREVIEW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