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S05 continuation — complete the required P01</w:t>
      </w:r>
    </w:p>
    <w:p>
      <w:pPr>
        <w:jc w:val="center"/>
      </w:pPr>
      <w:r>
        <w:rPr>
          <w:i/>
        </w:rPr>
        <w:t>Post-T60 route · EN-GB · v1.2.0 local final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AF2F8"/>
            <w:vAlign w:val="center"/>
          </w:tcPr>
          <w:p>
            <w:r>
              <w:rPr>
                <w:b/>
              </w:rPr>
              <w:t>This continues the same required P01. Full P02 and P03 implementations remain optional.</w:t>
            </w:r>
          </w:p>
        </w:tc>
      </w:tr>
    </w:tbl>
    <w:p>
      <w:pPr>
        <w:pStyle w:val="Heading1"/>
      </w:pPr>
      <w:r>
        <w:t>Completion checklist</w:t>
      </w:r>
    </w:p>
    <w:p>
      <w:r>
        <w:t>☐ GET collection and member</w:t>
      </w:r>
    </w:p>
    <w:p>
      <w:r>
        <w:t>☐ POST with opaque Location</w:t>
      </w:r>
    </w:p>
    <w:p>
      <w:r>
        <w:t>☐ PATCH preserving omitted fields</w:t>
      </w:r>
    </w:p>
    <w:p>
      <w:r>
        <w:t>☐ DELETE 204 with zero body bytes</w:t>
      </w:r>
    </w:p>
    <w:p>
      <w:r>
        <w:t>☐ Validation before mutation</w:t>
      </w:r>
    </w:p>
    <w:p>
      <w:r>
        <w:t>☐ Safe centralised handling of unexpected errors</w:t>
      </w:r>
    </w:p>
    <w:p>
      <w:r>
        <w:t>☐ Full named test suite when prerequisites are prepared</w:t>
      </w:r>
    </w:p>
    <w:p>
      <w:pPr>
        <w:pStyle w:val="Heading1"/>
      </w:pPr>
      <w:r>
        <w:t>Evidence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rPr>
          <w:tblHeader w:val="true"/>
        </w:trPr>
        <w:tc>
          <w:tcPr>
            <w:tcW w:type="dxa" w:w="2040"/>
            <w:shd w:fill="D9EAF7"/>
          </w:tcPr>
          <w:p>
            <w:r>
              <w:rPr>
                <w:b/>
              </w:rPr>
              <w:t>Route or test</w:t>
            </w:r>
          </w:p>
        </w:tc>
        <w:tc>
          <w:tcPr>
            <w:tcW w:type="dxa" w:w="2040"/>
            <w:shd w:fill="D9EAF7"/>
          </w:tcPr>
          <w:p>
            <w:r>
              <w:rPr>
                <w:b/>
              </w:rPr>
              <w:t>Expected contract</w:t>
            </w:r>
          </w:p>
        </w:tc>
        <w:tc>
          <w:tcPr>
            <w:tcW w:type="dxa" w:w="2040"/>
            <w:shd w:fill="D9EAF7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2040"/>
            <w:shd w:fill="D9EAF7"/>
          </w:tcPr>
          <w:p>
            <w:r>
              <w:rPr>
                <w:b/>
              </w:rPr>
              <w:t>Evidence class</w:t>
            </w:r>
          </w:p>
        </w:tc>
        <w:tc>
          <w:tcPr>
            <w:tcW w:type="dxa" w:w="2040"/>
            <w:shd w:fill="D9EAF7"/>
          </w:tcPr>
          <w:p>
            <w:r>
              <w:rPr>
                <w:b/>
              </w:rPr>
              <w:t>Limit</w:t>
            </w:r>
          </w:p>
        </w:tc>
      </w:tr>
      <w:tr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  <w:tr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  <w:tc>
          <w:tcPr>
            <w:tcW w:type="dxa" w:w="2040"/>
          </w:tcPr>
          <w:p>
            <w:r/>
          </w:p>
        </w:tc>
      </w:tr>
    </w:tbl>
    <w:p>
      <w:pPr>
        <w:pStyle w:val="Heading1"/>
      </w:pPr>
      <w:r>
        <w:t>STOP conditions</w:t>
      </w:r>
    </w:p>
    <w:p>
      <w:r>
        <w:t>Stop and report the exact output after any timeout, crash, wrong test count, unexpected mutation, dependency failure or privacy concern. Do not substitute a screenshot from another student.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