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CTitle"/>
        <w:jc w:val="center"/>
      </w:pPr>
      <w:r>
        <w:t>The Informatics Student’s Guide to</w:t>
        <w:br/>
        <w:t>Research Projects, Theses and Dissertations</w:t>
      </w:r>
    </w:p>
    <w:p>
      <w:pPr>
        <w:pStyle w:val="DCSubtitle"/>
        <w:jc w:val="center"/>
      </w:pPr>
      <w:r>
        <w:t>Route Worked Examples - Version 1.1.1</w:t>
      </w:r>
    </w:p>
    <w:p>
      <w:pPr>
        <w:pStyle w:val="DCAuthor"/>
        <w:jc w:val="center"/>
      </w:pPr>
      <w:r>
        <w:t>Antonio Clim and Martino Aldrigo</w:t>
      </w:r>
    </w:p>
    <w:p>
      <w:pPr>
        <w:pStyle w:val="DCStatus"/>
        <w:jc w:val="center"/>
      </w:pPr>
      <w:r>
        <w:t>UNPUBLISHED AUTHORIAL CANDIDATE</w:t>
      </w:r>
    </w:p>
    <w:p/>
    <w:p/>
    <w:p/>
    <w:p>
      <w:pPr>
        <w:pStyle w:val="DCFirst"/>
        <w:jc w:val="center"/>
      </w:pPr>
      <w:r>
        <w:t>Four synthetic, route-specific examples for the Digital Companion</w:t>
      </w:r>
    </w:p>
    <w:p>
      <w:pPr>
        <w:pStyle w:val="DCNote"/>
        <w:jc w:val="center"/>
      </w:pPr>
      <w:r>
        <w:t>This companion supplies authorial records and synthetic examples. It does not replace current regulations, programme instructions, official forms, supervisor decisions or independent verification.</w:t>
      </w:r>
    </w:p>
    <w:p>
      <w:pPr>
        <w:pStyle w:val="DCNote"/>
        <w:jc w:val="center"/>
      </w:pPr>
      <w:r>
        <w:t>Source manuscript: v3.1 title-migrated ASE X5 master | SHA-256 b275e30b0f9139ae134d7d94fd8c5ccf891fcd95be0e4b562d286d69c9558ab7</w:t>
      </w:r>
    </w:p>
    <w:p>
      <w:pPr>
        <w:pStyle w:val="DCNote"/>
        <w:jc w:val="center"/>
      </w:pPr>
      <w:r>
        <w:t>No GitHub release, Zenodo record, DOI, public licence, ISBN, CIP, imprint or confirmed edition statement is asserted.</w:t>
      </w:r>
    </w:p>
    <w:p>
      <w:pPr>
        <w:pStyle w:val="DCSmall"/>
        <w:jc w:val="center"/>
      </w:pPr>
      <w:r>
        <w:t>Version 1.1.1 | 19 August 2026</w:t>
      </w:r>
    </w:p>
    <w:p>
      <w:r>
        <w:br w:type="page"/>
      </w:r>
    </w:p>
    <w:p>
      <w:pPr>
        <w:pStyle w:val="DCH1"/>
      </w:pPr>
      <w:r>
        <w:t>Use and evidence warning</w:t>
      </w:r>
    </w:p>
    <w:p>
      <w:pPr>
        <w:pStyle w:val="DCWarning"/>
      </w:pPr>
      <w:r>
        <w:t>Every person, organisation, value, quotation, observation and result in this document is synthetic or composite. Nothing in this document is empirical evidence.</w:t>
      </w:r>
    </w:p>
    <w:p>
      <w:pPr>
        <w:pStyle w:val="DCBody"/>
        <w:ind w:left="283" w:hanging="170"/>
      </w:pPr>
      <w:r>
        <w:rPr>
          <w:rFonts w:ascii="Times New Roman" w:hAnsi="Times New Roman" w:eastAsia="Times New Roman"/>
          <w:b/>
          <w:color w:val="17365D"/>
          <w:sz w:val="21"/>
        </w:rPr>
        <w:t xml:space="preserve">• </w:t>
      </w:r>
      <w:r>
        <w:rPr>
          <w:rFonts w:ascii="Times New Roman" w:hAnsi="Times New Roman" w:eastAsia="Times New Roman"/>
          <w:sz w:val="21"/>
        </w:rPr>
        <w:t>Use the examples to understand record structure, evidence boundaries and gate returns.</w:t>
      </w:r>
    </w:p>
    <w:p>
      <w:pPr>
        <w:pStyle w:val="DCBody"/>
        <w:ind w:left="283" w:hanging="170"/>
      </w:pPr>
      <w:r>
        <w:rPr>
          <w:rFonts w:ascii="Times New Roman" w:hAnsi="Times New Roman" w:eastAsia="Times New Roman"/>
          <w:b/>
          <w:color w:val="17365D"/>
          <w:sz w:val="21"/>
        </w:rPr>
        <w:t xml:space="preserve">• </w:t>
      </w:r>
      <w:r>
        <w:rPr>
          <w:rFonts w:ascii="Times New Roman" w:hAnsi="Times New Roman" w:eastAsia="Times New Roman"/>
          <w:sz w:val="21"/>
        </w:rPr>
        <w:t>Do not copy a claim, number or conclusion into a real project.</w:t>
      </w:r>
    </w:p>
    <w:p>
      <w:pPr>
        <w:pStyle w:val="DCBody"/>
        <w:ind w:left="283" w:hanging="170"/>
      </w:pPr>
      <w:r>
        <w:rPr>
          <w:rFonts w:ascii="Times New Roman" w:hAnsi="Times New Roman" w:eastAsia="Times New Roman"/>
          <w:b/>
          <w:color w:val="17365D"/>
          <w:sz w:val="21"/>
        </w:rPr>
        <w:t xml:space="preserve">• </w:t>
      </w:r>
      <w:r>
        <w:rPr>
          <w:rFonts w:ascii="Times New Roman" w:hAnsi="Times New Roman" w:eastAsia="Times New Roman"/>
          <w:sz w:val="21"/>
        </w:rPr>
        <w:t>Replace every field with evidence from the approved project and preserve the applicable authority and privacy boundary.</w:t>
      </w:r>
    </w:p>
    <w:p>
      <w:pPr>
        <w:pStyle w:val="DCBody"/>
        <w:ind w:left="283" w:hanging="170"/>
      </w:pPr>
      <w:r>
        <w:rPr>
          <w:rFonts w:ascii="Times New Roman" w:hAnsi="Times New Roman" w:eastAsia="Times New Roman"/>
          <w:b/>
          <w:color w:val="17365D"/>
          <w:sz w:val="21"/>
        </w:rPr>
        <w:t xml:space="preserve">• </w:t>
      </w:r>
      <w:r>
        <w:rPr>
          <w:rFonts w:ascii="Times New Roman" w:hAnsi="Times New Roman" w:eastAsia="Times New Roman"/>
          <w:sz w:val="21"/>
        </w:rPr>
        <w:t>The examples deliberately include adverse evidence and forbidden inferences.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326"/>
        <w:gridCol w:w="3326"/>
        <w:gridCol w:w="3326"/>
      </w:tblGrid>
      <w:tr>
        <w:trPr>
          <w:tblHeader/>
          <w:cantSplit/>
        </w:trPr>
        <w:tc>
          <w:tcPr>
            <w:tcW w:type="dxa" w:w="1440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Route</w:t>
            </w:r>
          </w:p>
        </w:tc>
        <w:tc>
          <w:tcPr>
            <w:tcW w:type="dxa" w:w="2268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Worked example</w:t>
            </w:r>
          </w:p>
        </w:tc>
        <w:tc>
          <w:tcPr>
            <w:tcW w:type="dxa" w:w="2448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7"/>
              </w:rPr>
              <w:t>Principal boundary</w:t>
            </w:r>
          </w:p>
        </w:tc>
      </w:tr>
      <w:tr>
        <w:trPr>
          <w:cantSplit/>
        </w:trPr>
        <w:tc>
          <w:tcPr>
            <w:tcW w:type="dxa" w:w="1440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algorithmic or simulation study</w:t>
            </w:r>
          </w:p>
        </w:tc>
        <w:tc>
          <w:tcPr>
            <w:tcW w:type="dxa" w:w="2268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Sensitivity of API admission-control policies under bursty synthetic workloads</w:t>
            </w:r>
          </w:p>
        </w:tc>
        <w:tc>
          <w:tcPr>
            <w:tcW w:type="dxa" w:w="2448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Synthetic discrete-event simulation; one service pool; no production traffic, user data or deployment claim.</w:t>
            </w:r>
          </w:p>
        </w:tc>
      </w:tr>
      <w:tr>
        <w:trPr>
          <w:cantSplit/>
        </w:trPr>
        <w:tc>
          <w:tcPr>
            <w:tcW w:type="dxa" w:w="1440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qualitative inquiry</w:t>
            </w:r>
          </w:p>
        </w:tc>
        <w:tc>
          <w:tcPr>
            <w:tcW w:type="dxa" w:w="2268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How novice data analysts describe uncertainty when debugging notebook outputs</w:t>
            </w:r>
          </w:p>
        </w:tc>
        <w:tc>
          <w:tcPr>
            <w:tcW w:type="dxa" w:w="2448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Illustrative purposive sample of 12 novice analysts in one teaching context; no statistical prevalence claim and no case-study claim.</w:t>
            </w:r>
          </w:p>
        </w:tc>
      </w:tr>
      <w:tr>
        <w:trPr>
          <w:cantSplit/>
        </w:trPr>
        <w:tc>
          <w:tcPr>
            <w:tcW w:type="dxa" w:w="1440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case study</w:t>
            </w:r>
          </w:p>
        </w:tc>
        <w:tc>
          <w:tcPr>
            <w:tcW w:type="dxa" w:w="2268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Adoption of automated dependency scanning in one university software laboratory</w:t>
            </w:r>
          </w:p>
        </w:tc>
        <w:tc>
          <w:tcPr>
            <w:tcW w:type="dxa" w:w="2448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One synthetic laboratory, one 12-week period and one workflow; analytic, not statistical, generalisation.</w:t>
            </w:r>
          </w:p>
        </w:tc>
      </w:tr>
      <w:tr>
        <w:trPr>
          <w:cantSplit/>
        </w:trPr>
        <w:tc>
          <w:tcPr>
            <w:tcW w:type="dxa" w:w="1440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hybrid route</w:t>
            </w:r>
          </w:p>
        </w:tc>
        <w:tc>
          <w:tcPr>
            <w:tcW w:type="dxa" w:w="2268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Accessibility and response performance of a campus event-notification prototype</w:t>
            </w:r>
          </w:p>
        </w:tc>
        <w:tc>
          <w:tcPr>
            <w:tcW w:type="dxa" w:w="2448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Local prototype, controlled tasks, illustrative sample of 16 participants and no production deployment or universal accessibility claim.</w:t>
            </w:r>
          </w:p>
        </w:tc>
      </w:tr>
    </w:tbl>
    <w:p>
      <w:r>
        <w:br w:type="page"/>
      </w:r>
    </w:p>
    <w:p>
      <w:pPr>
        <w:pStyle w:val="DCH1"/>
      </w:pPr>
      <w:r>
        <w:t>1. Algorithmic Or Simulation Study</w:t>
      </w:r>
    </w:p>
    <w:p>
      <w:pPr>
        <w:pStyle w:val="DCH2"/>
      </w:pPr>
      <w:r>
        <w:t>Sensitivity of API admission-control policies under bursty synthetic workloads</w:t>
      </w:r>
    </w:p>
    <w:p>
      <w:pPr>
        <w:pStyle w:val="DCWarning"/>
      </w:pPr>
      <w:r>
        <w:t>Synthetic worked example - not empirical evidence and not reusable as a result</w:t>
      </w:r>
    </w:p>
    <w:p>
      <w:pPr>
        <w:pStyle w:val="DCH3"/>
      </w:pPr>
      <w:r>
        <w:t>Route and scope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1512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4644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Completed illustrative entry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Problem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 project team must compare two admission-control policies, but a successful implementation alone cannot establish performance under varying workload assumptions.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Research question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Under declared arrival, service and burst assumptions, how do token-bucket and fixed-window policies differ in false rejection, admitted load, queue-tail behaviour and overflow risk?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Unit of analysis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One simulation scenario defined by policy, offered load, burst factor, service distribution and random seed.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Boundary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Synthetic discrete-event simulation; one service pool; no production traffic, user data or deployment claim.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Comparison or reference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Token-bucket versus fixed-window, checked against hand-calculated limiting cases and a no-control reference.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Prohibited inference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Token-bucket control is superior for production APIs.</w:t>
            </w:r>
          </w:p>
        </w:tc>
      </w:tr>
    </w:tbl>
    <w:p>
      <w:pPr>
        <w:pStyle w:val="DCH3"/>
      </w:pPr>
      <w:r>
        <w:t>Conditional design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1512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644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Illustrative entry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Decision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Use discrete-event simulation with a factorial scenario grid and 30 declared seeds per cell; preserve each run manifest and sensitivity result.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Credible alternative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Closed-form approximation only; rejected because burst and queue interactions violate the simplifying assumptions in high-load cases.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Early test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Verify empty-load, saturated-load and deterministic-service cases against hand-calculated expectations before running the full grid.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Reopening trigger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 failed limiting-case check reopens Execution Gate; an assumption unsupported by the intended context reopens Design Gate.</w:t>
            </w:r>
          </w:p>
        </w:tc>
      </w:tr>
    </w:tbl>
    <w:p>
      <w:pPr>
        <w:pStyle w:val="DCH3"/>
      </w:pPr>
      <w:r>
        <w:t>Execution and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1512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644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Illustrative entry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Execution record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Freeze simulator commit, parameter file, pseudo-random generator and seed list; retain failed assertions and numerical warnings.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Illustrative output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Illustrative values only: at offered load 0.70 and moderate burstiness, the worked dataset records false rejection of 8.4% for fixed-window and 5.7% for token-bucket; at offered load 0.95, the token-bucket scenario shows a materially longer queue tail.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Uncertainty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Monte Carlo variation, sensitivity to arrival and service assumptions, implementation error and scenario-selection bias.</w:t>
            </w:r>
          </w:p>
        </w:tc>
      </w:tr>
    </w:tbl>
    <w:p>
      <w:pPr>
        <w:pStyle w:val="DCH3"/>
      </w:pPr>
      <w:r>
        <w:t>Claim-Evidence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1692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Exact bounded claim</w:t>
            </w:r>
          </w:p>
        </w:tc>
        <w:tc>
          <w:tcPr>
            <w:tcW w:type="dxa" w:w="1620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Evidence body</w:t>
            </w:r>
          </w:p>
        </w:tc>
        <w:tc>
          <w:tcPr>
            <w:tcW w:type="dxa" w:w="1655999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Uncertainty and boundary</w:t>
            </w:r>
          </w:p>
        </w:tc>
        <w:tc>
          <w:tcPr>
            <w:tcW w:type="dxa" w:w="1188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Stronger wording rejected</w:t>
            </w:r>
          </w:p>
        </w:tc>
      </w:tr>
      <w:tr>
        <w:trPr>
          <w:cantSplit/>
        </w:trPr>
        <w:tc>
          <w:tcPr>
            <w:tcW w:type="dxa" w:w="169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Within the declared synthetic scenarios, token-bucket control reduces false rejection under moderate burstiness relative to fixed-window control, while its queue-tail advantage does not persist under sustained near-saturation load.</w:t>
            </w:r>
          </w:p>
        </w:tc>
        <w:tc>
          <w:tcPr>
            <w:tcW w:type="dxa" w:w="1620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Illustrative values only: at offered load 0.70 and moderate burstiness, the worked dataset records false rejection of 8.4% for fixed-window and 5.7% for token-bucket; at offered load 0.95, the token-bucket scenario shows a materially longer queue tail.</w:t>
            </w:r>
          </w:p>
        </w:tc>
        <w:tc>
          <w:tcPr>
            <w:tcW w:type="dxa" w:w="16559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Monte Carlo variation, sensitivity to arrival and service assumptions, implementation error and scenario-selection bias. Synthetic discrete-event simulation; one service pool; no production traffic, user data or deployment claim.</w:t>
            </w:r>
          </w:p>
        </w:tc>
        <w:tc>
          <w:tcPr>
            <w:tcW w:type="dxa" w:w="1188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Token-bucket control is superior for production APIs.</w:t>
            </w:r>
          </w:p>
        </w:tc>
      </w:tr>
    </w:tbl>
    <w:p>
      <w:pPr>
        <w:pStyle w:val="DCH3"/>
      </w:pPr>
      <w:r>
        <w:t>Demonstration and defence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1512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4644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Illustrative entry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Route-appropriate demonstration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Re-run one limiting case, one moderate-load comparison and one adverse near-saturation case from the frozen release, then show the sensitivity table and run manifest.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Hostile question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Why should a synthetic simulation justify any operational decision?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Direct bounded answer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It does not establish production behaviour. It identifies conditional differences under explicit assumptions and exposes which workload features require measurement before deployment.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Return route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 failed limiting-case check reopens Execution Gate; an assumption unsupported by the intended context reopens Design Gate.</w:t>
            </w:r>
          </w:p>
        </w:tc>
      </w:tr>
    </w:tbl>
    <w:p>
      <w:pPr>
        <w:keepNext/>
        <w:spacing w:before="60" w:after="80" w:line="240" w:lineRule="auto"/>
        <w:ind w:left="142" w:right="142"/>
        <w:shd w:fill="FCE4D6"/>
        <w:pBdr>
          <w:top w:val="single" w:sz="6" w:space="4" w:color="17365D"/>
          <w:left w:val="single" w:sz="6" w:space="4" w:color="17365D"/>
          <w:bottom w:val="single" w:sz="6" w:space="4" w:color="17365D"/>
          <w:right w:val="single" w:sz="6" w:space="4" w:color="17365D"/>
        </w:pBdr>
      </w:pPr>
      <w:r>
        <w:rPr>
          <w:rFonts w:ascii="Times New Roman" w:hAnsi="Times New Roman" w:eastAsia="Times New Roman"/>
          <w:b/>
          <w:color w:val="17365D"/>
          <w:sz w:val="19"/>
        </w:rPr>
        <w:t xml:space="preserve">Hostile audit — </w:t>
      </w:r>
      <w:r>
        <w:rPr>
          <w:rFonts w:ascii="Times New Roman" w:hAnsi="Times New Roman" w:eastAsia="Times New Roman"/>
          <w:sz w:val="19"/>
        </w:rPr>
        <w:t>The example is pedagogically useful only if the reader preserves its boundary. The forbidden inference is: “Token-bucket control is superior for production APIs.” The correct response is to return to the named evidence and gate rather than make the example more impressive.</w:t>
      </w:r>
    </w:p>
    <w:p>
      <w:r>
        <w:br w:type="page"/>
      </w:r>
    </w:p>
    <w:p>
      <w:pPr>
        <w:pStyle w:val="DCH1"/>
      </w:pPr>
      <w:r>
        <w:t>2. Qualitative Inquiry</w:t>
      </w:r>
    </w:p>
    <w:p>
      <w:pPr>
        <w:pStyle w:val="DCH2"/>
      </w:pPr>
      <w:r>
        <w:t>How novice data analysts describe uncertainty when debugging notebook outputs</w:t>
      </w:r>
    </w:p>
    <w:p>
      <w:pPr>
        <w:pStyle w:val="DCWarning"/>
      </w:pPr>
      <w:r>
        <w:t>Synthetic worked example - no real participants, quotations or findings</w:t>
      </w:r>
    </w:p>
    <w:p>
      <w:pPr>
        <w:pStyle w:val="DCH3"/>
      </w:pPr>
      <w:r>
        <w:t>Route and scope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1512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4644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Completed illustrative entry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Problem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Debugging guidance often assumes uncertainty is a technical property, while novice analysts may experience it as a shifting judgement about tools, data and their own understanding.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Research question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How do purposively selected novice data analysts describe and manage uncertainty while debugging unexpected notebook outputs?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Unit of analysis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One participant account and its analytically relevant episodes, not one statement counted as an independent observation.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Boundary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Illustrative purposive sample of 12 novice analysts in one teaching context; no statistical prevalence claim and no case-study claim.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Comparison or reference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Constant comparison across accounts, deliberate search for negative cases and reflexive comparison between early and revised interpretations.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Prohibited inference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Novice analysts generally trust automated notebook outputs.</w:t>
            </w:r>
          </w:p>
        </w:tc>
      </w:tr>
    </w:tbl>
    <w:p>
      <w:pPr>
        <w:pStyle w:val="DCH3"/>
      </w:pPr>
      <w:r>
        <w:t>Conditional design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1512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644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Illustrative entry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Decision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Use semi-structured interviews, a versioned coding framework, analytic memos, negative-case review and a reflexivity record.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Credible alternative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 fixed-response survey; rejected because the project asks how uncertainty is interpreted and managed, not how often predefined responses occur.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Early test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Pilot two interview guides and check whether prompts elicit concrete debugging episodes rather than general opinions.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Reopening trigger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 disclosure or consent defect stops use of the material; a coding change that alters the claim reopens Claim and Argument Gates.</w:t>
            </w:r>
          </w:p>
        </w:tc>
      </w:tr>
    </w:tbl>
    <w:p>
      <w:pPr>
        <w:pStyle w:val="DCH3"/>
      </w:pPr>
      <w:r>
        <w:t>Execution and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1512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644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Illustrative entry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Execution record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Retain consent/authority status separately, pseudonymised transcripts, coding versions, memo links and changes in the analytic account.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Illustrative output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Illustrative synthesis only: the worked material develops a theme of “oscillating trust”, in which participants alternate between trusting the computational tool and interrogating the data or their own code. One negative case describes immediate distrust of automated output.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Uncertainty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Researcher interpretation, sample composition, incomplete recall, social desirability and transfer beyond the teaching context.</w:t>
            </w:r>
          </w:p>
        </w:tc>
      </w:tr>
    </w:tbl>
    <w:p>
      <w:pPr>
        <w:pStyle w:val="DCH3"/>
      </w:pPr>
      <w:r>
        <w:t>Claim-Evidence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1692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Exact bounded claim</w:t>
            </w:r>
          </w:p>
        </w:tc>
        <w:tc>
          <w:tcPr>
            <w:tcW w:type="dxa" w:w="1620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Evidence body</w:t>
            </w:r>
          </w:p>
        </w:tc>
        <w:tc>
          <w:tcPr>
            <w:tcW w:type="dxa" w:w="1655999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Uncertainty and boundary</w:t>
            </w:r>
          </w:p>
        </w:tc>
        <w:tc>
          <w:tcPr>
            <w:tcW w:type="dxa" w:w="1188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Stronger wording rejected</w:t>
            </w:r>
          </w:p>
        </w:tc>
      </w:tr>
      <w:tr>
        <w:trPr>
          <w:cantSplit/>
        </w:trPr>
        <w:tc>
          <w:tcPr>
            <w:tcW w:type="dxa" w:w="169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In this illustrative purposive corpus, participants described uncertainty as a negotiated judgement across tool behaviour, data plausibility and self-assessment, with at least one account resisting the dominant pattern of initial tool trust.</w:t>
            </w:r>
          </w:p>
        </w:tc>
        <w:tc>
          <w:tcPr>
            <w:tcW w:type="dxa" w:w="1620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Illustrative synthesis only: the worked material develops a theme of “oscillating trust”, in which participants alternate between trusting the computational tool and interrogating the data or their own code. One negative case describes immediate distrust of automated output.</w:t>
            </w:r>
          </w:p>
        </w:tc>
        <w:tc>
          <w:tcPr>
            <w:tcW w:type="dxa" w:w="16559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Researcher interpretation, sample composition, incomplete recall, social desirability and transfer beyond the teaching context. Illustrative purposive sample of 12 novice analysts in one teaching context; no statistical prevalence claim and no case-study claim.</w:t>
            </w:r>
          </w:p>
        </w:tc>
        <w:tc>
          <w:tcPr>
            <w:tcW w:type="dxa" w:w="1188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Novice analysts generally trust automated notebook outputs.</w:t>
            </w:r>
          </w:p>
        </w:tc>
      </w:tr>
    </w:tbl>
    <w:p>
      <w:pPr>
        <w:pStyle w:val="DCH3"/>
      </w:pPr>
      <w:r>
        <w:t>Demonstration and defence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1512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4644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Illustrative entry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Route-appropriate demonstration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Show the route from two pseudonymised excerpts to codes, memo, candidate theme, negative case and bounded claim without exposing identity information.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Hostile question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How do you know the theme is not merely your preferred interpretation?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Direct bounded answer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The claim is bounded to the corpus and supported by an explicit coding and memo trail, a negative-case search and a reflexivity record. It is not presented as the only possible interpretation.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Return route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 disclosure or consent defect stops use of the material; a coding change that alters the claim reopens Claim and Argument Gates.</w:t>
            </w:r>
          </w:p>
        </w:tc>
      </w:tr>
    </w:tbl>
    <w:p>
      <w:pPr>
        <w:keepNext/>
        <w:spacing w:before="60" w:after="80" w:line="240" w:lineRule="auto"/>
        <w:ind w:left="142" w:right="142"/>
        <w:shd w:fill="FCE4D6"/>
        <w:pBdr>
          <w:top w:val="single" w:sz="6" w:space="4" w:color="17365D"/>
          <w:left w:val="single" w:sz="6" w:space="4" w:color="17365D"/>
          <w:bottom w:val="single" w:sz="6" w:space="4" w:color="17365D"/>
          <w:right w:val="single" w:sz="6" w:space="4" w:color="17365D"/>
        </w:pBdr>
      </w:pPr>
      <w:r>
        <w:rPr>
          <w:rFonts w:ascii="Times New Roman" w:hAnsi="Times New Roman" w:eastAsia="Times New Roman"/>
          <w:b/>
          <w:color w:val="17365D"/>
          <w:sz w:val="19"/>
        </w:rPr>
        <w:t xml:space="preserve">Hostile audit — </w:t>
      </w:r>
      <w:r>
        <w:rPr>
          <w:rFonts w:ascii="Times New Roman" w:hAnsi="Times New Roman" w:eastAsia="Times New Roman"/>
          <w:sz w:val="19"/>
        </w:rPr>
        <w:t>The example is pedagogically useful only if the reader preserves its boundary. The forbidden inference is: “Novice analysts generally trust automated notebook outputs.” The correct response is to return to the named evidence and gate rather than make the example more impressive.</w:t>
      </w:r>
    </w:p>
    <w:p>
      <w:r>
        <w:br w:type="page"/>
      </w:r>
    </w:p>
    <w:p>
      <w:pPr>
        <w:pStyle w:val="DCH1"/>
      </w:pPr>
      <w:r>
        <w:t>3. Case Study</w:t>
      </w:r>
    </w:p>
    <w:p>
      <w:pPr>
        <w:pStyle w:val="DCH2"/>
      </w:pPr>
      <w:r>
        <w:t>Adoption of automated dependency scanning in one university software laboratory</w:t>
      </w:r>
    </w:p>
    <w:p>
      <w:pPr>
        <w:pStyle w:val="DCWarning"/>
      </w:pPr>
      <w:r>
        <w:t>Synthetic worked example - no real organisation, staff or operational data</w:t>
      </w:r>
    </w:p>
    <w:p>
      <w:pPr>
        <w:pStyle w:val="DCH3"/>
      </w:pPr>
      <w:r>
        <w:t>Route and scope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1512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4644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Completed illustrative entry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Problem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 laboratory enables dependency scanning, yet alert generation alone does not explain whether the control becomes part of everyday maintenance.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Research question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How and why did automated dependency scanning become integrated, contested or bypassed within one bounded university software laboratory over a 12-week adoption period?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Unit of analysis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The bounded laboratory adoption process, investigated through multiple evidence sources.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Boundary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One synthetic laboratory, one 12-week period and one workflow; analytic, not statistical, generalisation.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Comparison or reference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Triangulation across configuration snapshots, issue records, meeting notes, policy documents and illustrative interviews, including discrepant evidence.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Prohibited inference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Automated dependency scanning succeeds whenever a tool is enabled.</w:t>
            </w:r>
          </w:p>
        </w:tc>
      </w:tr>
    </w:tbl>
    <w:p>
      <w:pPr>
        <w:pStyle w:val="DCH3"/>
      </w:pPr>
      <w:r>
        <w:t>Conditional design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1512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644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Illustrative entry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Decision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Use a case protocol, source map, chain-of-evidence register, timeline and rival-explanation memo.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Credible alternative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Treat alert counts as a quantitative empirical study; rejected because the question concerns organisational integration and mechanisms in context.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Early test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Confirm access to at least three independent source classes and test whether timestamps can be aligned without exposing personal data.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Reopening trigger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Loss of source triangulation reopens Evidence Gate; a changed case boundary reopens Problem and Design Gates.</w:t>
            </w:r>
          </w:p>
        </w:tc>
      </w:tr>
    </w:tbl>
    <w:p>
      <w:pPr>
        <w:pStyle w:val="DCH3"/>
      </w:pPr>
      <w:r>
        <w:t>Execution and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1512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644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Illustrative entry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Execution record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Version the case protocol, source inventory, redaction decisions, timeline and rival explanations; retain contradictions rather than harmonising them away.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Illustrative output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Illustrative synthesis only: scanning became routine only after remediation ownership and exception handling were assigned. Alert volume alone did not explain uptake; one project bypassed the control when responsibility remained ambiguous.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Uncertainty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Incomplete organisational records, retrospective accounts, researcher access and the uniqueness of the case context.</w:t>
            </w:r>
          </w:p>
        </w:tc>
      </w:tr>
    </w:tbl>
    <w:p>
      <w:pPr>
        <w:pStyle w:val="DCH3"/>
      </w:pPr>
      <w:r>
        <w:t>Claim-Evidence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1692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Exact bounded claim</w:t>
            </w:r>
          </w:p>
        </w:tc>
        <w:tc>
          <w:tcPr>
            <w:tcW w:type="dxa" w:w="1620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Evidence body</w:t>
            </w:r>
          </w:p>
        </w:tc>
        <w:tc>
          <w:tcPr>
            <w:tcW w:type="dxa" w:w="1655999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Uncertainty and boundary</w:t>
            </w:r>
          </w:p>
        </w:tc>
        <w:tc>
          <w:tcPr>
            <w:tcW w:type="dxa" w:w="1188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Stronger wording rejected</w:t>
            </w:r>
          </w:p>
        </w:tc>
      </w:tr>
      <w:tr>
        <w:trPr>
          <w:cantSplit/>
        </w:trPr>
        <w:tc>
          <w:tcPr>
            <w:tcW w:type="dxa" w:w="169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Within this bounded synthetic case, workflow integration depended on explicit remediation ownership and exception handling more than on alert generation alone.</w:t>
            </w:r>
          </w:p>
        </w:tc>
        <w:tc>
          <w:tcPr>
            <w:tcW w:type="dxa" w:w="1620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Illustrative synthesis only: scanning became routine only after remediation ownership and exception handling were assigned. Alert volume alone did not explain uptake; one project bypassed the control when responsibility remained ambiguous.</w:t>
            </w:r>
          </w:p>
        </w:tc>
        <w:tc>
          <w:tcPr>
            <w:tcW w:type="dxa" w:w="16559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Incomplete organisational records, retrospective accounts, researcher access and the uniqueness of the case context. One synthetic laboratory, one 12-week period and one workflow; analytic, not statistical, generalisation.</w:t>
            </w:r>
          </w:p>
        </w:tc>
        <w:tc>
          <w:tcPr>
            <w:tcW w:type="dxa" w:w="1188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Automated dependency scanning succeeds whenever a tool is enabled.</w:t>
            </w:r>
          </w:p>
        </w:tc>
      </w:tr>
    </w:tbl>
    <w:p>
      <w:pPr>
        <w:pStyle w:val="DCH3"/>
      </w:pPr>
      <w:r>
        <w:t>Demonstration and defence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1512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4644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Illustrative entry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Route-appropriate demonstration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Trace one illustrative incident across configuration, issue record, meeting note and timeline, then present a rival explanation and the evidence that limits it.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Hostile question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Why should anyone care about a single laboratory?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Direct bounded answer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The case does not estimate prevalence. It offers a transparent contextual account of a mechanism and the conditions under which that account may inform comparison with another bounded setting.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Return route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Loss of source triangulation reopens Evidence Gate; a changed case boundary reopens Problem and Design Gates.</w:t>
            </w:r>
          </w:p>
        </w:tc>
      </w:tr>
    </w:tbl>
    <w:p>
      <w:pPr>
        <w:keepNext/>
        <w:spacing w:before="60" w:after="80" w:line="240" w:lineRule="auto"/>
        <w:ind w:left="142" w:right="142"/>
        <w:shd w:fill="FCE4D6"/>
        <w:pBdr>
          <w:top w:val="single" w:sz="6" w:space="4" w:color="17365D"/>
          <w:left w:val="single" w:sz="6" w:space="4" w:color="17365D"/>
          <w:bottom w:val="single" w:sz="6" w:space="4" w:color="17365D"/>
          <w:right w:val="single" w:sz="6" w:space="4" w:color="17365D"/>
        </w:pBdr>
      </w:pPr>
      <w:r>
        <w:rPr>
          <w:rFonts w:ascii="Times New Roman" w:hAnsi="Times New Roman" w:eastAsia="Times New Roman"/>
          <w:b/>
          <w:color w:val="17365D"/>
          <w:sz w:val="19"/>
        </w:rPr>
        <w:t xml:space="preserve">Hostile audit — </w:t>
      </w:r>
      <w:r>
        <w:rPr>
          <w:rFonts w:ascii="Times New Roman" w:hAnsi="Times New Roman" w:eastAsia="Times New Roman"/>
          <w:sz w:val="19"/>
        </w:rPr>
        <w:t>The example is pedagogically useful only if the reader preserves its boundary. The forbidden inference is: “Automated dependency scanning succeeds whenever a tool is enabled.” The correct response is to return to the named evidence and gate rather than make the example more impressive.</w:t>
      </w:r>
    </w:p>
    <w:p>
      <w:r>
        <w:br w:type="page"/>
      </w:r>
    </w:p>
    <w:p>
      <w:pPr>
        <w:pStyle w:val="DCH1"/>
      </w:pPr>
      <w:r>
        <w:t>4. Hybrid Route</w:t>
      </w:r>
    </w:p>
    <w:p>
      <w:pPr>
        <w:pStyle w:val="DCH2"/>
      </w:pPr>
      <w:r>
        <w:t>Accessibility and response performance of a campus event-notification prototype</w:t>
      </w:r>
    </w:p>
    <w:p>
      <w:pPr>
        <w:pStyle w:val="DCWarning"/>
      </w:pPr>
      <w:r>
        <w:t>Synthetic worked example - no real participants, deployment or accessibility certification</w:t>
      </w:r>
    </w:p>
    <w:p>
      <w:pPr>
        <w:pStyle w:val="DCH3"/>
      </w:pPr>
      <w:r>
        <w:t>Route and scope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1512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4644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Completed illustrative entry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Problem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 prototype can meet response-time targets while still presenting comprehension or interaction barriers. Neither system performance nor user feedback alone answers the design question.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Research question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Under declared laboratory tasks, how do response performance, task completion and participant explanations jointly characterise the accessibility limits of a campus event-notification prototype?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Unit of analysis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System run, participant task and qualitative feedback episode, kept distinct and integrated only at the joint-display stage.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Boundary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Local prototype, controlled tasks, illustrative sample of 16 participants and no production deployment or universal accessibility claim.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Comparison or reference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Build-and-evaluate performance targets, quantitative task outcomes and qualitative explanations integrated through a predeclared joint display.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Prohibited inference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The prototype is accessible and ready for campus deployment.</w:t>
            </w:r>
          </w:p>
        </w:tc>
      </w:tr>
    </w:tbl>
    <w:p>
      <w:pPr>
        <w:pStyle w:val="DCH3"/>
      </w:pPr>
      <w:r>
        <w:t>Conditional design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1512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644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Illustrative entry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Decision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Combine build-and-evaluate, a bounded quantitative task study and qualitative feedback; define component-specific claims and one integration claim.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Credible alternative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Report only response time; rejected because it cannot represent comprehension or interaction barriers.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Early test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Pilot the event set, screen-reader path, timing capture and joint-display categories with privacy-safe dummy accounts.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Reopening trigger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 component protocol failure reopens its responsible gate; a missing integration product prevents the hybrid claim from passing Claim Gate.</w:t>
            </w:r>
          </w:p>
        </w:tc>
      </w:tr>
    </w:tbl>
    <w:p>
      <w:pPr>
        <w:pStyle w:val="DCH3"/>
      </w:pPr>
      <w:r>
        <w:t>Execution and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1512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644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Illustrative entry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Execution record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Freeze prototype release and task script; retain system logs, task outcomes, anonymised feedback, deviations and the integration table.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Illustrative output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Illustrative values only: the worked dataset records the local response target in 14 of 16 task sessions, while feedback identifies ambiguous urgency labels and one keyboard-navigation barrier. The joint display shows that fast response does not imply accessible comprehension.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Uncertainty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Small illustrative sample, artificial tasks, device variation, learning effects and incomplete accessibility coverage.</w:t>
            </w:r>
          </w:p>
        </w:tc>
      </w:tr>
    </w:tbl>
    <w:p>
      <w:pPr>
        <w:pStyle w:val="DCH3"/>
      </w:pPr>
      <w:r>
        <w:t>Claim-Evidence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1692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Exact bounded claim</w:t>
            </w:r>
          </w:p>
        </w:tc>
        <w:tc>
          <w:tcPr>
            <w:tcW w:type="dxa" w:w="1620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Evidence body</w:t>
            </w:r>
          </w:p>
        </w:tc>
        <w:tc>
          <w:tcPr>
            <w:tcW w:type="dxa" w:w="1655999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Uncertainty and boundary</w:t>
            </w:r>
          </w:p>
        </w:tc>
        <w:tc>
          <w:tcPr>
            <w:tcW w:type="dxa" w:w="1188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6"/>
              </w:rPr>
              <w:t>Stronger wording rejected</w:t>
            </w:r>
          </w:p>
        </w:tc>
      </w:tr>
      <w:tr>
        <w:trPr>
          <w:cantSplit/>
        </w:trPr>
        <w:tc>
          <w:tcPr>
            <w:tcW w:type="dxa" w:w="169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Under the declared laboratory tasks, the prototype met the local response target in most sessions, while integrated task and feedback evidence identified comprehension and keyboard-navigation barriers that limit any broader accessibility claim.</w:t>
            </w:r>
          </w:p>
        </w:tc>
        <w:tc>
          <w:tcPr>
            <w:tcW w:type="dxa" w:w="1620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Illustrative values only: the worked dataset records the local response target in 14 of 16 task sessions, while feedback identifies ambiguous urgency labels and one keyboard-navigation barrier. The joint display shows that fast response does not imply accessible comprehension.</w:t>
            </w:r>
          </w:p>
        </w:tc>
        <w:tc>
          <w:tcPr>
            <w:tcW w:type="dxa" w:w="1655999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Small illustrative sample, artificial tasks, device variation, learning effects and incomplete accessibility coverage. Local prototype, controlled tasks, illustrative sample of 16 participants and no production deployment or universal accessibility claim.</w:t>
            </w:r>
          </w:p>
        </w:tc>
        <w:tc>
          <w:tcPr>
            <w:tcW w:type="dxa" w:w="1188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The prototype is accessible and ready for campus deployment.</w:t>
            </w:r>
          </w:p>
        </w:tc>
      </w:tr>
    </w:tbl>
    <w:p>
      <w:pPr>
        <w:pStyle w:val="DCH3"/>
      </w:pPr>
      <w:r>
        <w:t>Demonstration and defence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89"/>
        <w:gridCol w:w="4989"/>
      </w:tblGrid>
      <w:tr>
        <w:trPr>
          <w:tblHeader/>
          <w:cantSplit/>
        </w:trPr>
        <w:tc>
          <w:tcPr>
            <w:tcW w:type="dxa" w:w="1512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4644000"/>
            <w:shd w:fill="17365D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Illustrative entry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Route-appropriate demonstration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Show one event from generated notification through performance log, task outcome, feedback episode and joint-display integration, followed by the keyboard-navigation failure and recovery path.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Hostile question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Why call the route hybrid rather than present three unrelated mini-studies?</w:t>
            </w:r>
          </w:p>
        </w:tc>
      </w:tr>
      <w:tr>
        <w:trPr>
          <w:cantSplit/>
        </w:trPr>
        <w:tc>
          <w:tcPr>
            <w:tcW w:type="dxa" w:w="1512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Direct bounded answer</w:t>
            </w:r>
          </w:p>
        </w:tc>
        <w:tc>
          <w:tcPr>
            <w:tcW w:type="dxa" w:w="46440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Each component answers a named subquestion and the joint display supports an integration claim that no component can support alone. Without that integration point, the route would be an incoherent mixture.</w:t>
            </w:r>
          </w:p>
        </w:tc>
      </w:tr>
      <w:tr>
        <w:trPr>
          <w:cantSplit/>
        </w:trPr>
        <w:tc>
          <w:tcPr>
            <w:tcW w:type="dxa" w:w="1512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Return route</w:t>
            </w:r>
          </w:p>
        </w:tc>
        <w:tc>
          <w:tcPr>
            <w:tcW w:type="dxa" w:w="4644000"/>
            <w:shd w:fill="F8F9FB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 component protocol failure reopens its responsible gate; a missing integration product prevents the hybrid claim from passing Claim Gate.</w:t>
            </w:r>
          </w:p>
        </w:tc>
      </w:tr>
    </w:tbl>
    <w:p>
      <w:pPr>
        <w:keepNext/>
        <w:spacing w:before="60" w:after="80" w:line="240" w:lineRule="auto"/>
        <w:ind w:left="142" w:right="142"/>
        <w:shd w:fill="FCE4D6"/>
        <w:pBdr>
          <w:top w:val="single" w:sz="6" w:space="4" w:color="17365D"/>
          <w:left w:val="single" w:sz="6" w:space="4" w:color="17365D"/>
          <w:bottom w:val="single" w:sz="6" w:space="4" w:color="17365D"/>
          <w:right w:val="single" w:sz="6" w:space="4" w:color="17365D"/>
        </w:pBdr>
      </w:pPr>
      <w:r>
        <w:rPr>
          <w:rFonts w:ascii="Times New Roman" w:hAnsi="Times New Roman" w:eastAsia="Times New Roman"/>
          <w:b/>
          <w:color w:val="17365D"/>
          <w:sz w:val="19"/>
        </w:rPr>
        <w:t xml:space="preserve">Hostile audit — </w:t>
      </w:r>
      <w:r>
        <w:rPr>
          <w:rFonts w:ascii="Times New Roman" w:hAnsi="Times New Roman" w:eastAsia="Times New Roman"/>
          <w:sz w:val="19"/>
        </w:rPr>
        <w:t>The example is pedagogically useful only if the reader preserves its boundary. The forbidden inference is: “The prototype is accessible and ready for campus deployment.” The correct response is to return to the named evidence and gate rather than make the example more impressive.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935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Times New Roman"/>
        <w:color w:val="404040"/>
        <w:sz w:val="16"/>
      </w:rPr>
      <w:t xml:space="preserve">Unpublished authorial candidate | 19 August 2026 | Page </w:t>
    </w:r>
    <w:r>
      <w:rPr>
        <w:rFonts w:ascii="Times New Roman" w:hAnsi="Times New Roman" w:eastAsia="Times New Roman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404040"/>
        <w:sz w:val="16"/>
      </w:rPr>
      <w:t>Projects, Theses and Dissertations | Digital Companion v1.1.1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CTitle">
    <w:name w:val="DC Title"/>
    <w:pPr>
      <w:spacing w:before="200" w:after="120" w:line="240" w:lineRule="auto"/>
    </w:pPr>
    <w:rPr>
      <w:rFonts w:ascii="Times New Roman" w:hAnsi="Times New Roman" w:eastAsia="Times New Roman"/>
      <w:b/>
      <w:i w:val="0"/>
      <w:color w:val="17365D"/>
      <w:sz w:val="46"/>
    </w:rPr>
  </w:style>
  <w:style w:type="paragraph" w:customStyle="1" w:styleId="DCSubtitle">
    <w:name w:val="DC Subtitle"/>
    <w:pPr>
      <w:spacing w:before="40" w:after="160" w:line="240" w:lineRule="auto"/>
    </w:pPr>
    <w:rPr>
      <w:rFonts w:ascii="Times New Roman" w:hAnsi="Times New Roman" w:eastAsia="Times New Roman"/>
      <w:b w:val="0"/>
      <w:i/>
      <w:color w:val="404040"/>
      <w:sz w:val="26"/>
    </w:rPr>
  </w:style>
  <w:style w:type="paragraph" w:customStyle="1" w:styleId="DCAuthor">
    <w:name w:val="DC Author"/>
    <w:pPr>
      <w:spacing w:before="40" w:after="40" w:line="240" w:lineRule="auto"/>
    </w:pPr>
    <w:rPr>
      <w:rFonts w:ascii="Times New Roman" w:hAnsi="Times New Roman" w:eastAsia="Times New Roman"/>
      <w:b/>
      <w:i w:val="0"/>
      <w:color w:val="404040"/>
      <w:sz w:val="22"/>
    </w:rPr>
  </w:style>
  <w:style w:type="paragraph" w:customStyle="1" w:styleId="DCStatus">
    <w:name w:val="DC Status"/>
    <w:pPr>
      <w:spacing w:before="120" w:after="120" w:line="240" w:lineRule="auto"/>
    </w:pPr>
    <w:rPr>
      <w:rFonts w:ascii="Times New Roman" w:hAnsi="Times New Roman" w:eastAsia="Times New Roman"/>
      <w:b/>
      <w:i w:val="0"/>
      <w:color w:val="C00000"/>
      <w:sz w:val="21"/>
    </w:rPr>
  </w:style>
  <w:style w:type="paragraph" w:customStyle="1" w:styleId="DCH1">
    <w:name w:val="DC H1"/>
    <w:pPr>
      <w:keepNext/>
      <w:spacing w:before="240" w:after="120" w:line="240" w:lineRule="auto"/>
    </w:pPr>
    <w:rPr>
      <w:rFonts w:ascii="Times New Roman" w:hAnsi="Times New Roman" w:eastAsia="Times New Roman"/>
      <w:b/>
      <w:i w:val="0"/>
      <w:color w:val="17365D"/>
      <w:sz w:val="30"/>
    </w:rPr>
  </w:style>
  <w:style w:type="paragraph" w:customStyle="1" w:styleId="DCH2">
    <w:name w:val="DC H2"/>
    <w:pPr>
      <w:keepNext/>
      <w:spacing w:before="160" w:after="80" w:line="240" w:lineRule="auto"/>
    </w:pPr>
    <w:rPr>
      <w:rFonts w:ascii="Times New Roman" w:hAnsi="Times New Roman" w:eastAsia="Times New Roman"/>
      <w:b/>
      <w:i w:val="0"/>
      <w:color w:val="17365D"/>
      <w:sz w:val="25"/>
    </w:rPr>
  </w:style>
  <w:style w:type="paragraph" w:customStyle="1" w:styleId="DCH3">
    <w:name w:val="DC H3"/>
    <w:pPr>
      <w:keepNext/>
      <w:spacing w:before="120" w:after="60" w:line="240" w:lineRule="auto"/>
    </w:pPr>
    <w:rPr>
      <w:rFonts w:ascii="Times New Roman" w:hAnsi="Times New Roman" w:eastAsia="Times New Roman"/>
      <w:b/>
      <w:i/>
      <w:color w:val="404040"/>
      <w:sz w:val="22"/>
    </w:rPr>
  </w:style>
  <w:style w:type="paragraph" w:customStyle="1" w:styleId="DCBody">
    <w:name w:val="DC Body"/>
    <w:pPr>
      <w:spacing w:before="0" w:after="80" w:line="240" w:lineRule="auto"/>
    </w:pPr>
    <w:rPr>
      <w:rFonts w:ascii="Times New Roman" w:hAnsi="Times New Roman" w:eastAsia="Times New Roman"/>
      <w:b w:val="0"/>
      <w:i w:val="0"/>
      <w:sz w:val="21"/>
    </w:rPr>
  </w:style>
  <w:style w:type="paragraph" w:customStyle="1" w:styleId="DCFirst">
    <w:name w:val="DC First"/>
    <w:pPr>
      <w:spacing w:before="0" w:after="80" w:line="240" w:lineRule="auto"/>
    </w:pPr>
    <w:rPr>
      <w:rFonts w:ascii="Times New Roman" w:hAnsi="Times New Roman" w:eastAsia="Times New Roman"/>
      <w:b w:val="0"/>
      <w:i w:val="0"/>
      <w:sz w:val="21"/>
    </w:rPr>
  </w:style>
  <w:style w:type="paragraph" w:customStyle="1" w:styleId="DCNote">
    <w:name w:val="DC Note"/>
    <w:pPr>
      <w:spacing w:before="40" w:after="80" w:line="240" w:lineRule="auto"/>
    </w:pPr>
    <w:rPr>
      <w:rFonts w:ascii="Times New Roman" w:hAnsi="Times New Roman" w:eastAsia="Times New Roman"/>
      <w:b w:val="0"/>
      <w:i/>
      <w:color w:val="404040"/>
      <w:sz w:val="18"/>
    </w:rPr>
  </w:style>
  <w:style w:type="paragraph" w:customStyle="1" w:styleId="DCSmall">
    <w:name w:val="DC Small"/>
    <w:pPr>
      <w:spacing w:before="0" w:after="40" w:line="240" w:lineRule="auto"/>
    </w:pPr>
    <w:rPr>
      <w:rFonts w:ascii="Times New Roman" w:hAnsi="Times New Roman" w:eastAsia="Times New Roman"/>
      <w:b w:val="0"/>
      <w:i w:val="0"/>
      <w:color w:val="404040"/>
      <w:sz w:val="17"/>
    </w:rPr>
  </w:style>
  <w:style w:type="paragraph" w:customStyle="1" w:styleId="DCWarning">
    <w:name w:val="DC Warning"/>
    <w:pPr>
      <w:spacing w:before="80" w:after="80" w:line="240" w:lineRule="auto"/>
    </w:pPr>
    <w:rPr>
      <w:rFonts w:ascii="Times New Roman" w:hAnsi="Times New Roman" w:eastAsia="Times New Roman"/>
      <w:b/>
      <w:i w:val="0"/>
      <w:color w:val="C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Informatics Student’s Guide to Research Projects, Theses and Dissertations — Route Worked Examples v1.1.1</dc:title>
  <dc:subject>From Topic Selection to Evidence, Implementation, Writing and Defence</dc:subject>
  <dc:creator>Antonio Clim and Martino Aldrigo</dc:creator>
  <cp:keywords>informatics; research projects; theses; dissertations; digital companion; academic methods</cp:keywords>
  <dc:description>Route Worked Examples v1.1.1; title-aligned with the v3.1 authorial master on 2026-08-19.</dc:description>
  <cp:lastModifiedBy>Antonio Clim and Martino Aldrigo</cp:lastModifiedBy>
  <cp:revision>31</cp:revision>
  <dcterms:created xsi:type="dcterms:W3CDTF">2013-12-23T23:15:00Z</dcterms:created>
  <dcterms:modified xsi:type="dcterms:W3CDTF">2026-08-19T00:00:00Z</dcterms:modified>
  <cp:category/>
</cp:coreProperties>
</file>