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Laborator: Transformări funcționale pe tablouri — map / filter / reduce, TypedArray și BigInt (Node.js)</w:t>
      </w:r>
    </w:p>
    <w:p>
      <w:r>
        <w:t>Data generării: 2025-10-13 13:56:57</w:t>
      </w:r>
    </w:p>
    <w:p>
      <w:pPr>
        <w:pStyle w:val="Heading1"/>
      </w:pPr>
      <w:r>
        <w:t>Obiective de învățare</w:t>
      </w:r>
    </w:p>
    <w:p>
      <w:pPr>
        <w:pStyle w:val="ListBullet"/>
      </w:pPr>
      <w:r>
        <w:t>Aplicarea transformărilor funcționale `map`, `filter`, `reduce` pe tablouri JavaScript, cu accent pe imutabilitate și compoziție.</w:t>
      </w:r>
    </w:p>
    <w:p>
      <w:pPr>
        <w:pStyle w:val="ListBullet"/>
      </w:pPr>
      <w:r>
        <w:t>Integrarea variantelor imperative (buclă `for`) ca termen de comparație și argumentarea costurilor asimptotice.</w:t>
      </w:r>
    </w:p>
    <w:p>
      <w:pPr>
        <w:pStyle w:val="ListBullet"/>
      </w:pPr>
      <w:r>
        <w:t>Utilizarea `TypedArray` (e.g., `Float64Array`) pentru procesoări numerice dense și înțelegerea diferențelor față de `Array`.</w:t>
      </w:r>
    </w:p>
    <w:p>
      <w:pPr>
        <w:pStyle w:val="ListBullet"/>
      </w:pPr>
      <w:r>
        <w:t>Folosirea `BigInt` (și a tipurilor `BigInt64Array`) pentru domenii integrale mari și evitarea amestecării cu `Number`.</w:t>
      </w:r>
    </w:p>
    <w:p>
      <w:pPr>
        <w:pStyle w:val="ListBullet"/>
      </w:pPr>
      <w:r>
        <w:t>Conceperea de CLI-uri minimale (Node.js) și realizarea micro-benchmark-urilor didactice.</w:t>
      </w:r>
    </w:p>
    <w:p>
      <w:pPr>
        <w:pStyle w:val="ListBullet"/>
      </w:pPr>
      <w:r>
        <w:t>Analiza complexității: timp O(n), spațiu O(n), efectul alocărilor intermediare și considerente IEEE-754 (sumare stabilă).</w:t>
      </w:r>
    </w:p>
    <w:p>
      <w:pPr>
        <w:pStyle w:val="Heading1"/>
      </w:pPr>
      <w:r>
        <w:t>Mediu și prerechizite</w:t>
      </w:r>
    </w:p>
    <w:p>
      <w:r>
        <w:t>• Node.js 18+; editor cu suport UTF‑8; shell POSIX (Bash) sau PowerShell.</w:t>
      </w:r>
    </w:p>
    <w:p>
      <w:r>
        <w:t>Verificare rapidă:</w:t>
      </w:r>
    </w:p>
    <w:p>
      <w:pPr>
        <w:pStyle w:val="ListBullet"/>
      </w:pPr>
      <w:r>
        <w:t>node -v</w:t>
      </w:r>
    </w:p>
    <w:p>
      <w:pPr>
        <w:pStyle w:val="Heading1"/>
      </w:pPr>
      <w:r>
        <w:t>Recapitulare fișiere din pachet (A–D, E–J)</w:t>
      </w:r>
    </w:p>
    <w:p>
      <w:r>
        <w:t>A–D: variante `map` (expresie concisă, funcție ajutătoare, variabilă intermediară, CLI parametric).</w:t>
      </w:r>
    </w:p>
    <w:p>
      <w:r>
        <w:t>E–J (variațiuni): buclă `for`, map cu `reduce`, BigInt, TypedArray, micro‑benchmark, iterator (generator).</w:t>
      </w:r>
    </w:p>
    <w:p>
      <w:pPr>
        <w:pStyle w:val="Heading1"/>
      </w:pPr>
      <w:r>
        <w:t>Sarcini (graduale)</w:t>
      </w:r>
    </w:p>
    <w:p>
      <w:r>
        <w:rPr>
          <w:b/>
        </w:rPr>
        <w:t>S1. Mapare elementară</w:t>
      </w:r>
    </w:p>
    <w:p>
      <w:r>
        <w:t>Implementați `x =&gt; x * mul` cu `Array.prototype.map`. Justificați imutabilitatea (tablou nou) și păstrarea ordinii.</w:t>
      </w:r>
    </w:p>
    <w:p>
      <w:r>
        <w:rPr>
          <w:b/>
        </w:rPr>
        <w:t>S2. Filtrare funcțională</w:t>
      </w:r>
    </w:p>
    <w:p>
      <w:r>
        <w:t>Construiți predicate pentru `filter`: (a) păstrați doar valorile pare; (b) păstrați doar valori finite (`Number.isFinite`).</w:t>
      </w:r>
    </w:p>
    <w:p>
      <w:r>
        <w:rPr>
          <w:b/>
        </w:rPr>
        <w:t>S3. Agregare cu reduce</w:t>
      </w:r>
    </w:p>
    <w:p>
      <w:r>
        <w:t>Scrieți `reduce` pentru sumă și pentru produs; discutați rolul **valorii inițiale** (0 pentru sumă, 1 pentru produs) și cazul tablourilor vide.</w:t>
      </w:r>
    </w:p>
    <w:p>
      <w:r>
        <w:rPr>
          <w:b/>
        </w:rPr>
        <w:t>S4. Compoziție map→filter→reduce</w:t>
      </w:r>
    </w:p>
    <w:p>
      <w:r>
        <w:t>Creați un pipeline: generați valori, filtrați după un prag, calculați suma. Arătați variante cu și fără materiale intermediare (single reduce).</w:t>
      </w:r>
    </w:p>
    <w:p>
      <w:r>
        <w:rPr>
          <w:b/>
        </w:rPr>
        <w:t>S5. Variantă imperativă (for)</w:t>
      </w:r>
    </w:p>
    <w:p>
      <w:r>
        <w:t>Rescrieți S1 cu un `for` clasic; comparați alocările și lizibilitatea cu varianta funcțională.</w:t>
      </w:r>
    </w:p>
    <w:p>
      <w:r>
        <w:rPr>
          <w:b/>
        </w:rPr>
        <w:t>S6. `TypedArray` (Float64Array)</w:t>
      </w:r>
    </w:p>
    <w:p>
      <w:r>
        <w:t>Transpuneți un `Array` numeric într‑un `Float64Array` și aplicați `.map`. Măsurați impactul asupra timpului pentru 10^6 elemente (indicativ).</w:t>
      </w:r>
    </w:p>
    <w:p>
      <w:r>
        <w:rPr>
          <w:b/>
        </w:rPr>
        <w:t>S7. `BigInt` și `BigInt64Array`</w:t>
      </w:r>
    </w:p>
    <w:p>
      <w:r>
        <w:t>Implementați maparea pentru tablouri de `BigInt` și discutați restricțiile (nu amestecați cu `Number`).</w:t>
      </w:r>
    </w:p>
    <w:p>
      <w:r>
        <w:rPr>
          <w:b/>
        </w:rPr>
        <w:t>S8. Sumare stabilă (IEEE‑754)</w:t>
      </w:r>
    </w:p>
    <w:p>
      <w:r>
        <w:t>Implementați **Kahan Summation** pentru sumă (cu `Number`). Comparați eroarea relativă față de `reduce` obișnuit.</w:t>
      </w:r>
    </w:p>
    <w:p>
      <w:r>
        <w:rPr>
          <w:b/>
        </w:rPr>
        <w:t>S9. CLI minimal &amp; micro‑benchmark</w:t>
      </w:r>
    </w:p>
    <w:p>
      <w:r>
        <w:t>Construiți un script care primește `--arr=...` și `--mul=...`, apoi rulează maparea. Adăugați un micro‑benchmark: `map` vs `for` vs `reduce`. Discutați rezultatele.</w:t>
      </w:r>
    </w:p>
    <w:p>
      <w:r>
        <w:rPr>
          <w:b/>
        </w:rPr>
        <w:t>S10. Raport</w:t>
      </w:r>
    </w:p>
    <w:p>
      <w:r>
        <w:t>Redactați un scurt raport (1–2 pagini) despre design, complexitate, observații privind TypedArray/BigInt și stabilitatea numerică.</w:t>
      </w:r>
    </w:p>
    <w:p>
      <w:pPr>
        <w:pStyle w:val="Heading1"/>
      </w:pPr>
      <w:r>
        <w:t>Comenzi utile (exemple)</w:t>
      </w:r>
    </w:p>
    <w:p>
      <w:pPr>
        <w:pStyle w:val="ListBullet"/>
      </w:pPr>
      <w:r>
        <w:t>node 4mapmulA.js</w:t>
      </w:r>
    </w:p>
    <w:p>
      <w:pPr>
        <w:pStyle w:val="ListBullet"/>
      </w:pPr>
      <w:r>
        <w:t>node 4mapmulB.js</w:t>
      </w:r>
    </w:p>
    <w:p>
      <w:pPr>
        <w:pStyle w:val="ListBullet"/>
      </w:pPr>
      <w:r>
        <w:t>node 4mapmulC.js</w:t>
      </w:r>
    </w:p>
    <w:p>
      <w:pPr>
        <w:pStyle w:val="ListBullet"/>
      </w:pPr>
      <w:r>
        <w:t>node 4mapmulD.js --arr=1,2,3,4,5 --mul=2</w:t>
      </w:r>
    </w:p>
    <w:p>
      <w:pPr>
        <w:pStyle w:val="ListBullet"/>
      </w:pPr>
      <w:r>
        <w:t>node variations/4mapmulE_forLoop.js</w:t>
      </w:r>
    </w:p>
    <w:p>
      <w:pPr>
        <w:pStyle w:val="ListBullet"/>
      </w:pPr>
      <w:r>
        <w:t>node variations/4mapmulF_reduceMap.js</w:t>
      </w:r>
    </w:p>
    <w:p>
      <w:pPr>
        <w:pStyle w:val="ListBullet"/>
      </w:pPr>
      <w:r>
        <w:t>node variations/4mapmulG_bigint.js</w:t>
      </w:r>
    </w:p>
    <w:p>
      <w:pPr>
        <w:pStyle w:val="ListBullet"/>
      </w:pPr>
      <w:r>
        <w:t>node variations/4mapmulH_typedArray.js</w:t>
      </w:r>
    </w:p>
    <w:p>
      <w:pPr>
        <w:pStyle w:val="ListBullet"/>
      </w:pPr>
      <w:r>
        <w:t>node variations/4mapmulI_benchmark.js 1000000</w:t>
      </w:r>
    </w:p>
    <w:p>
      <w:pPr>
        <w:pStyle w:val="ListBullet"/>
      </w:pPr>
      <w:r>
        <w:t>node variations/4mapmulJ_iterator.js</w:t>
      </w:r>
    </w:p>
    <w:p>
      <w:pPr>
        <w:pStyle w:val="Heading1"/>
      </w:pPr>
      <w:r>
        <w:t>Grilă de evaluare (rubrică)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Criteriu</w:t>
            </w:r>
          </w:p>
        </w:tc>
        <w:tc>
          <w:tcPr>
            <w:tcW w:type="dxa" w:w="2880"/>
          </w:tcPr>
          <w:p>
            <w:r>
              <w:t>Descriere</w:t>
            </w:r>
          </w:p>
        </w:tc>
        <w:tc>
          <w:tcPr>
            <w:tcW w:type="dxa" w:w="2880"/>
          </w:tcPr>
          <w:p>
            <w:r>
              <w:t>Pondere</w:t>
            </w:r>
          </w:p>
        </w:tc>
      </w:tr>
      <w:tr>
        <w:tc>
          <w:tcPr>
            <w:tcW w:type="dxa" w:w="2880"/>
          </w:tcPr>
          <w:p>
            <w:r>
              <w:t>Corectitudine</w:t>
            </w:r>
          </w:p>
        </w:tc>
        <w:tc>
          <w:tcPr>
            <w:tcW w:type="dxa" w:w="2880"/>
          </w:tcPr>
          <w:p>
            <w:r>
              <w:t>Rezultate corecte și gestionarea cazurilor-limită (tablouri vide, non‑finite, BigInt).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Calitatea codului</w:t>
            </w:r>
          </w:p>
        </w:tc>
        <w:tc>
          <w:tcPr>
            <w:tcW w:type="dxa" w:w="2880"/>
          </w:tcPr>
          <w:p>
            <w:r>
              <w:t>Claritate, modularitate, comentarii, tratarea erorilor, CLI robustă.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Performanță &amp; complexitate</w:t>
            </w:r>
          </w:p>
        </w:tc>
        <w:tc>
          <w:tcPr>
            <w:tcW w:type="dxa" w:w="2880"/>
          </w:tcPr>
          <w:p>
            <w:r>
              <w:t>Argumentarea O(n)/O(1) extra și măsurători empirice.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Numerică</w:t>
            </w:r>
          </w:p>
        </w:tc>
        <w:tc>
          <w:tcPr>
            <w:tcW w:type="dxa" w:w="2880"/>
          </w:tcPr>
          <w:p>
            <w:r>
              <w:t>Aplicarea IEEE‑754, Kahan Summation unde e cazul; discuția limitărilor.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Documentare</w:t>
            </w:r>
          </w:p>
        </w:tc>
        <w:tc>
          <w:tcPr>
            <w:tcW w:type="dxa" w:w="2880"/>
          </w:tcPr>
          <w:p>
            <w:r>
              <w:t>Raport coerent, explicații, reproducibilitate.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Referințe (APA, ediția a 7‑a)</w:t>
      </w:r>
    </w:p>
    <w:p>
      <w:r>
        <w:t>Backus, J. (1978). Can programming be liberated from the von Neumann style? A functional style and its algebra of programs. Communications of the ACM, 21(8), 613–641. https://doi.org/10.1145/359576.359579</w:t>
      </w:r>
    </w:p>
    <w:p>
      <w:r>
        <w:t>Hutton, G. (1999). A tutorial on the universality and expressiveness of fold. Journal of Functional Programming, 9(4), 355–372. https://doi.org/10.1017/S0956796899003500</w:t>
      </w:r>
    </w:p>
    <w:p>
      <w:r>
        <w:t>IEEE. (2019). IEEE Standard for Floating‑Point Arithmetic (IEEE Std 754‑2019). https://doi.org/10.1109/IEEESTD.2019.8766229</w:t>
      </w:r>
    </w:p>
    <w:p>
      <w:r>
        <w:t>Goldberg, D. (1991). What every computer scientist should know about floating‑point arithmetic. ACM Computing Surveys, 23(1), 5–48. https://doi.org/10.1145/103162.103163</w:t>
      </w:r>
    </w:p>
    <w:p>
      <w:r>
        <w:t>Cormen, T. H., Leiserson, C. E., Rivest, R. L., &amp; Stein, C. (2022). Introduction to algorithms (4th ed.). MIT Press. https://doi.org/10.7551/mitpress/11838.001.0001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