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4F7BF305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Гриф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a8"/>
          </w:pPr>
        </w:p>
        <w:p w14:paraId="22DFACC1" w14:textId="0F141D92" w:rsidR="00AE0890" w:rsidRPr="00B70DA9" w:rsidRDefault="00AE0890" w:rsidP="00B70DA9">
          <w:pPr>
            <w:pStyle w:val="1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a9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5" w:history="1">
            <w:r w:rsidRPr="00B70DA9">
              <w:rPr>
                <w:rStyle w:val="a9"/>
              </w:rPr>
              <w:t xml:space="preserve">2 </w:t>
            </w:r>
            <w:r w:rsidRPr="00B70DA9">
              <w:rPr>
                <w:rStyle w:val="a9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68" w:history="1">
            <w:r w:rsidRPr="00B70DA9">
              <w:rPr>
                <w:rStyle w:val="a9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3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3" w:history="1">
            <w:r w:rsidRPr="00B70DA9">
              <w:rPr>
                <w:rStyle w:val="a9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4" w:history="1">
            <w:r w:rsidRPr="00B70DA9">
              <w:rPr>
                <w:rStyle w:val="a9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a9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198" w:history="1">
            <w:r w:rsidRPr="00B70DA9">
              <w:rPr>
                <w:rStyle w:val="a9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1" w:history="1">
            <w:r w:rsidRPr="00B70DA9">
              <w:rPr>
                <w:rStyle w:val="a9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11"/>
            <w:rPr>
              <w:lang w:eastAsia="ru-RU"/>
            </w:rPr>
          </w:pPr>
          <w:hyperlink w:anchor="_Toc178602205" w:history="1">
            <w:r w:rsidRPr="00B70DA9">
              <w:rPr>
                <w:rStyle w:val="a9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6531B72" w:rsidR="00CE74D6" w:rsidRPr="004E7F9E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4E7F9E" w:rsidRPr="004E7F9E">
        <w:rPr>
          <w:rFonts w:ascii="Times New Roman" w:hAnsi="Times New Roman" w:cs="Times New Roman"/>
          <w:sz w:val="28"/>
          <w:szCs w:val="28"/>
          <w:lang w:val="ru-RU"/>
        </w:rPr>
        <w:t xml:space="preserve"> 24.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65AA8DB0" w:rsidR="00CE74D6" w:rsidRPr="004E7F9E" w:rsidRDefault="00C2386C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8D59D" wp14:editId="1CEBA6C1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6D3DFFAA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посадочной части А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(25мм – 40мм)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0DD5D6E1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разделителя В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(40мм – 60мм)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6264495A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ручки С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(1200мм – 1310мм)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2734400B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разделителя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D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(35мм – 50мм, должен быть больше </w:t>
      </w:r>
      <w:r w:rsidR="005F35C1">
        <w:rPr>
          <w:rFonts w:ascii="Times New Roman" w:hAnsi="Times New Roman" w:cs="Times New Roman"/>
          <w:sz w:val="28"/>
          <w:szCs w:val="28"/>
        </w:rPr>
        <w:t>A</w:t>
      </w:r>
      <w:r w:rsidR="005F35C1" w:rsidRPr="005F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>на 10мм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733D721F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посадочной части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E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 xml:space="preserve"> (320мм – 420мм)</w:t>
      </w:r>
      <w:r w:rsidR="00CF15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Гриф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2E7BA797" w14:textId="77777777" w:rsidR="00727D03" w:rsidRDefault="00727D03" w:rsidP="00727D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5C9">
        <w:rPr>
          <w:rFonts w:ascii="Times New Roman" w:hAnsi="Times New Roman" w:cs="Times New Roman"/>
          <w:sz w:val="28"/>
          <w:szCs w:val="28"/>
          <w:lang w:val="ru-RU"/>
        </w:rPr>
        <w:t xml:space="preserve">Гриф – это спортивный снаряд в виде металлического стержня, на который надеваются блины. Он используется для силовых </w:t>
      </w:r>
      <w:r w:rsidRPr="00D535C9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упражнений со штангой. Конструктивно гриф состоит из центральной рукояти меньшего диаметра и двух посадочных частей большего диаметра для крепления блинов. Чтобы смоделировать такую деталь в САПР, достаточно задать простую форму для каждой из его частей в виде цилиндров, вытянуть их на необходимую длину и при необходимости добавить фаски или насечку на рукояти.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64B470BB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50625D55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Windows версии 10 и старше и разрядностью х64 с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NE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Т 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2A56CC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461C1E70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EA30CA3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33C1CF" w14:textId="5E287903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74BBE" w14:textId="497A7FD0" w:rsidR="009238B2" w:rsidRDefault="00923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73039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2CE29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4 </w:t>
      </w:r>
      <w:commentRangeStart w:id="3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СОСТАВ И СОДЕРЖАНИЕ РАБОТ ПО СОЗДАНИЮ АВТОМАТИЗИРОВАННОЙ СИСТЕМЫ</w:t>
      </w:r>
      <w:bookmarkEnd w:id="33"/>
      <w:commentRangeEnd w:id="34"/>
      <w:r w:rsidR="00072CD4">
        <w:rPr>
          <w:rStyle w:val="aa"/>
          <w:rFonts w:asciiTheme="minorHAnsi" w:eastAsiaTheme="minorEastAsia" w:hAnsiTheme="minorHAnsi" w:cstheme="minorBidi"/>
          <w:color w:val="auto"/>
        </w:rPr>
        <w:commentReference w:id="34"/>
      </w:r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072CD4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5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5 ПОРЯДОК РАЗРАБОТКИ АВТОМАТИЗИРОВАННОЙ СИСТЕМЫ</w:t>
      </w:r>
      <w:bookmarkEnd w:id="35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5.1 Порядок организации разработки АС</w:t>
      </w:r>
      <w:bookmarkEnd w:id="36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7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1F849E4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58317-2018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8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B9F72C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4C2F3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BC682F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5C231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7BA08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186B6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9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6 </w:t>
      </w:r>
      <w:commentRangeStart w:id="4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ПОРЯДОК КОНТРОЛЯ И ПРИЁМКИ АВТОМАТИЗИРОВАННОЙ СИСТЕМЫ</w:t>
      </w:r>
      <w:bookmarkEnd w:id="39"/>
      <w:commentRangeEnd w:id="40"/>
      <w:r w:rsidR="00072CD4">
        <w:rPr>
          <w:rStyle w:val="aa"/>
          <w:rFonts w:asciiTheme="minorHAnsi" w:eastAsiaTheme="minorEastAsia" w:hAnsiTheme="minorHAnsi" w:cstheme="minorBidi"/>
          <w:color w:val="auto"/>
        </w:rPr>
        <w:commentReference w:id="40"/>
      </w:r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1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6.1 Виды, состав и методы испытаний АС и ее составных частей</w:t>
      </w:r>
      <w:bookmarkEnd w:id="41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 w:rsidP="00727D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A5F75BC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2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2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05E5D0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5C8C6B8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43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Комплектность передаваемой отчётной документации подлежит проверке Заказчиком.</w:t>
      </w:r>
      <w:commentRangeEnd w:id="43"/>
      <w:r w:rsidR="00072CD4">
        <w:rPr>
          <w:rStyle w:val="aa"/>
        </w:rPr>
        <w:commentReference w:id="43"/>
      </w:r>
    </w:p>
    <w:p w14:paraId="120742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D48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F0407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E649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A1BAF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8F37E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16B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5002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9337A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ABB9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8B531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E8A7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12E88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6F28B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7A75C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05706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68EE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94886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41035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A4EF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4273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00EF0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DF948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29C00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570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1CB9C" w14:textId="77777777" w:rsidR="00CE74D6" w:rsidRPr="00AE0890" w:rsidRDefault="0050649D" w:rsidP="00AE089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4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 ТРЕБОВАНИЯ К ДОКУМЕНТИРОВАНИЮ</w:t>
      </w:r>
      <w:bookmarkEnd w:id="44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5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5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6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7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47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6D7B2A0F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8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48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Томск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230D435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commentRangeStart w:id="49"/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18578-89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Грифы строительные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;</w:t>
      </w:r>
      <w:commentRangeEnd w:id="49"/>
      <w:r w:rsidR="003D1EA5">
        <w:rPr>
          <w:rStyle w:val="aa"/>
        </w:rPr>
        <w:commentReference w:id="49"/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a9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4" w:author="Kalentyev Alexey" w:date="2025-09-30T06:04:00Z" w:initials="KA">
    <w:p w14:paraId="1AE82890" w14:textId="77777777" w:rsidR="00072CD4" w:rsidRDefault="00072CD4" w:rsidP="00072CD4">
      <w:pPr>
        <w:pStyle w:val="ab"/>
      </w:pPr>
      <w:r>
        <w:rPr>
          <w:rStyle w:val="aa"/>
        </w:rPr>
        <w:annotationRef/>
      </w:r>
      <w:r>
        <w:rPr>
          <w:lang w:val="ru-RU"/>
        </w:rPr>
        <w:t>Начало новой главы не по ОС ТУСУР</w:t>
      </w:r>
    </w:p>
  </w:comment>
  <w:comment w:id="40" w:author="Kalentyev Alexey" w:date="2025-09-30T06:04:00Z" w:initials="KA">
    <w:p w14:paraId="1BAE3FE4" w14:textId="77777777" w:rsidR="00072CD4" w:rsidRDefault="00072CD4" w:rsidP="00072CD4">
      <w:pPr>
        <w:pStyle w:val="ab"/>
      </w:pPr>
      <w:r>
        <w:rPr>
          <w:rStyle w:val="aa"/>
        </w:rPr>
        <w:annotationRef/>
      </w:r>
      <w:r>
        <w:rPr>
          <w:lang w:val="ru-RU"/>
        </w:rPr>
        <w:t>Новая глава</w:t>
      </w:r>
    </w:p>
  </w:comment>
  <w:comment w:id="43" w:author="Kalentyev Alexey" w:date="2025-09-30T06:05:00Z" w:initials="KA">
    <w:p w14:paraId="2DDC5B71" w14:textId="77777777" w:rsidR="00072CD4" w:rsidRDefault="00072CD4" w:rsidP="00072CD4">
      <w:pPr>
        <w:pStyle w:val="ab"/>
      </w:pPr>
      <w:r>
        <w:rPr>
          <w:rStyle w:val="aa"/>
        </w:rPr>
        <w:annotationRef/>
      </w:r>
      <w:r>
        <w:rPr>
          <w:lang w:val="ru-RU"/>
        </w:rPr>
        <w:t>Висячая строка, подтянуть выше.</w:t>
      </w:r>
    </w:p>
  </w:comment>
  <w:comment w:id="49" w:author="Kalentyev Alexey" w:date="2025-09-16T09:49:00Z" w:initials="KA">
    <w:p w14:paraId="7255C921" w14:textId="2CF30CCC" w:rsidR="003D1EA5" w:rsidRPr="00727D03" w:rsidRDefault="003D1EA5" w:rsidP="003D1EA5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E82890" w15:done="0"/>
  <w15:commentEx w15:paraId="1BAE3FE4" w15:done="0"/>
  <w15:commentEx w15:paraId="2DDC5B71" w15:done="0"/>
  <w15:commentEx w15:paraId="7255C9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13D393" w16cex:dateUtc="2025-09-30T03:04:00Z"/>
  <w16cex:commentExtensible w16cex:durableId="739FE63F" w16cex:dateUtc="2025-09-30T03:04:00Z"/>
  <w16cex:commentExtensible w16cex:durableId="5C05618B" w16cex:dateUtc="2025-09-30T03:05:00Z"/>
  <w16cex:commentExtensible w16cex:durableId="778C2FCF" w16cex:dateUtc="2025-09-16T02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E82890" w16cid:durableId="2B13D393"/>
  <w16cid:commentId w16cid:paraId="1BAE3FE4" w16cid:durableId="739FE63F"/>
  <w16cid:commentId w16cid:paraId="2DDC5B71" w16cid:durableId="5C05618B"/>
  <w16cid:commentId w16cid:paraId="7255C921" w16cid:durableId="778C2F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DF259" w14:textId="77777777" w:rsidR="006D4DDB" w:rsidRDefault="006D4DDB">
      <w:r>
        <w:separator/>
      </w:r>
    </w:p>
  </w:endnote>
  <w:endnote w:type="continuationSeparator" w:id="0">
    <w:p w14:paraId="74819945" w14:textId="77777777" w:rsidR="006D4DDB" w:rsidRDefault="006D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B8FCC" w14:textId="77777777" w:rsidR="006D4DDB" w:rsidRDefault="006D4DDB">
      <w:r>
        <w:separator/>
      </w:r>
    </w:p>
  </w:footnote>
  <w:footnote w:type="continuationSeparator" w:id="0">
    <w:p w14:paraId="5EEF9E03" w14:textId="77777777" w:rsidR="006D4DDB" w:rsidRDefault="006D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72CD4"/>
    <w:rsid w:val="00084D2F"/>
    <w:rsid w:val="000A068A"/>
    <w:rsid w:val="00103ED9"/>
    <w:rsid w:val="0012740F"/>
    <w:rsid w:val="001864E8"/>
    <w:rsid w:val="001A350F"/>
    <w:rsid w:val="003307F8"/>
    <w:rsid w:val="00364C80"/>
    <w:rsid w:val="00390983"/>
    <w:rsid w:val="003D1A3E"/>
    <w:rsid w:val="003D1EA5"/>
    <w:rsid w:val="0042582C"/>
    <w:rsid w:val="00471DCF"/>
    <w:rsid w:val="004E7F9E"/>
    <w:rsid w:val="0050649D"/>
    <w:rsid w:val="00510CAB"/>
    <w:rsid w:val="00565CC6"/>
    <w:rsid w:val="00571EC4"/>
    <w:rsid w:val="005B1D52"/>
    <w:rsid w:val="005B4F45"/>
    <w:rsid w:val="005F35C1"/>
    <w:rsid w:val="0061270F"/>
    <w:rsid w:val="00615C6D"/>
    <w:rsid w:val="00630668"/>
    <w:rsid w:val="006D4DDB"/>
    <w:rsid w:val="00725465"/>
    <w:rsid w:val="00727D03"/>
    <w:rsid w:val="007340BA"/>
    <w:rsid w:val="007767B9"/>
    <w:rsid w:val="007A4150"/>
    <w:rsid w:val="007C6EA1"/>
    <w:rsid w:val="007F54B1"/>
    <w:rsid w:val="008B4EA2"/>
    <w:rsid w:val="009238B2"/>
    <w:rsid w:val="00952259"/>
    <w:rsid w:val="009D6F9F"/>
    <w:rsid w:val="00A04CEF"/>
    <w:rsid w:val="00AB360D"/>
    <w:rsid w:val="00AE0890"/>
    <w:rsid w:val="00B06B32"/>
    <w:rsid w:val="00B06DD3"/>
    <w:rsid w:val="00B24F12"/>
    <w:rsid w:val="00B55C58"/>
    <w:rsid w:val="00B64C19"/>
    <w:rsid w:val="00B70DA9"/>
    <w:rsid w:val="00B72DFA"/>
    <w:rsid w:val="00B72FA4"/>
    <w:rsid w:val="00C17AF4"/>
    <w:rsid w:val="00C2386C"/>
    <w:rsid w:val="00C406FF"/>
    <w:rsid w:val="00C408AB"/>
    <w:rsid w:val="00C50054"/>
    <w:rsid w:val="00C90DD1"/>
    <w:rsid w:val="00CD25D6"/>
    <w:rsid w:val="00CE74D6"/>
    <w:rsid w:val="00CF15EC"/>
    <w:rsid w:val="00CF5D2C"/>
    <w:rsid w:val="00D648FA"/>
    <w:rsid w:val="00DB3584"/>
    <w:rsid w:val="00DB5C40"/>
    <w:rsid w:val="00DC34EE"/>
    <w:rsid w:val="00DD5D98"/>
    <w:rsid w:val="00E16A31"/>
    <w:rsid w:val="00EB6A1F"/>
    <w:rsid w:val="00EE03E8"/>
    <w:rsid w:val="00EF2C1B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64C19"/>
    <w:rPr>
      <w:color w:val="808080"/>
    </w:rPr>
  </w:style>
  <w:style w:type="paragraph" w:styleId="a7">
    <w:name w:val="List Paragraph"/>
    <w:basedOn w:val="a"/>
    <w:uiPriority w:val="99"/>
    <w:rsid w:val="003909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31">
    <w:name w:val="toc 3"/>
    <w:basedOn w:val="a"/>
    <w:next w:val="a"/>
    <w:autoRedefine/>
    <w:uiPriority w:val="39"/>
    <w:rsid w:val="00AE0890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AE0890"/>
    <w:rPr>
      <w:color w:val="0563C1" w:themeColor="hyperlink"/>
      <w:u w:val="single"/>
    </w:rPr>
  </w:style>
  <w:style w:type="character" w:styleId="aa">
    <w:name w:val="annotation reference"/>
    <w:basedOn w:val="a0"/>
    <w:rsid w:val="007C6EA1"/>
    <w:rPr>
      <w:sz w:val="16"/>
      <w:szCs w:val="16"/>
    </w:rPr>
  </w:style>
  <w:style w:type="paragraph" w:styleId="ab">
    <w:name w:val="annotation text"/>
    <w:basedOn w:val="a"/>
    <w:link w:val="ac"/>
    <w:rsid w:val="007C6EA1"/>
  </w:style>
  <w:style w:type="character" w:customStyle="1" w:styleId="ac">
    <w:name w:val="Текст примечания Знак"/>
    <w:basedOn w:val="a0"/>
    <w:link w:val="ab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7C6EA1"/>
    <w:rPr>
      <w:b/>
      <w:bCs/>
    </w:rPr>
  </w:style>
  <w:style w:type="character" w:customStyle="1" w:styleId="ae">
    <w:name w:val="Тема примечания Знак"/>
    <w:basedOn w:val="ac"/>
    <w:link w:val="ad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af">
    <w:name w:val="Balloon Text"/>
    <w:basedOn w:val="a"/>
    <w:link w:val="af0"/>
    <w:rsid w:val="00103ED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af1">
    <w:name w:val="Unresolved Mention"/>
    <w:basedOn w:val="a0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2865</Words>
  <Characters>16333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15</cp:revision>
  <cp:lastPrinted>2024-09-30T07:13:00Z</cp:lastPrinted>
  <dcterms:created xsi:type="dcterms:W3CDTF">2024-10-06T08:22:00Z</dcterms:created>
  <dcterms:modified xsi:type="dcterms:W3CDTF">2025-09-30T03:05:00Z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