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hlpro-guia-de-instalação"/>
    <w:p>
      <w:pPr>
        <w:pStyle w:val="Heading1"/>
      </w:pPr>
      <w:r>
        <w:t xml:space="preserve">THLPro — Guia de Instalação</w:t>
      </w:r>
    </w:p>
    <w:p>
      <w:pPr>
        <w:pStyle w:val="FirstParagraph"/>
      </w:pPr>
      <w:r>
        <w:t xml:space="preserve">Sistema profissional de análise de opções em tempo real (substitui a planilha THLPro.xlsx). Este guia cobre instalação em desenvolvimento e em produção.</w:t>
      </w:r>
    </w:p>
    <w:p>
      <w:pPr>
        <w:pStyle w:val="BlockText"/>
      </w:pPr>
      <w:r>
        <w:t xml:space="preserve">Resumo das peças:</w:t>
      </w:r>
      <w:r>
        <w:t xml:space="preserve"> </w:t>
      </w:r>
      <w:r>
        <w:rPr>
          <w:bCs/>
          <w:b/>
        </w:rPr>
        <w:t xml:space="preserve">backend</w:t>
      </w:r>
      <w:r>
        <w:t xml:space="preserve"> </w:t>
      </w:r>
      <w:r>
        <w:t xml:space="preserve">(Python/FastAPI),</w:t>
      </w:r>
      <w:r>
        <w:t xml:space="preserve"> </w:t>
      </w:r>
      <w:r>
        <w:rPr>
          <w:bCs/>
          <w:b/>
        </w:rPr>
        <w:t xml:space="preserve">frontend</w:t>
      </w:r>
      <w:r>
        <w:t xml:space="preserve"> </w:t>
      </w:r>
      <w:r>
        <w:t xml:space="preserve">(React/Vite),</w:t>
      </w:r>
      <w:r>
        <w:t xml:space="preserve"> </w:t>
      </w:r>
      <w:r>
        <w:rPr>
          <w:bCs/>
          <w:b/>
        </w:rPr>
        <w:t xml:space="preserve">cliente Windows</w:t>
      </w:r>
      <w:r>
        <w:t xml:space="preserve"> </w:t>
      </w:r>
      <w:r>
        <w:t xml:space="preserve">(Python/.exe que lê o Profit via RTD),</w:t>
      </w:r>
      <w:r>
        <w:t xml:space="preserve"> </w:t>
      </w:r>
      <w:r>
        <w:rPr>
          <w:bCs/>
          <w:b/>
        </w:rPr>
        <w:t xml:space="preserve">PostgreSQL + nginx</w:t>
      </w:r>
      <w:r>
        <w:t xml:space="preserve"> </w:t>
      </w:r>
      <w:r>
        <w:t xml:space="preserve">via Docker.</w:t>
      </w:r>
    </w:p>
    <w:p>
      <w:r>
        <w:pict>
          <v:rect style="width:0;height:1.5pt" o:hralign="center" o:hrstd="t" o:hr="t"/>
        </w:pict>
      </w:r>
    </w:p>
    <w:bookmarkStart w:id="20" w:name="pré-requisitos"/>
    <w:p>
      <w:pPr>
        <w:pStyle w:val="Heading2"/>
      </w:pPr>
      <w:r>
        <w:t xml:space="preserve">1. Pré-requisitos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t xml:space="preserve">Linux com Docker e Docker Compose (v2), ou Python 3.12 + PostgreSQL 16 para instalação manual.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Máquina de operação:</w:t>
      </w:r>
      <w:r>
        <w:t xml:space="preserve"> </w:t>
      </w:r>
      <w:r>
        <w:t xml:space="preserve">Windows 10/11 64-bit com</w:t>
      </w:r>
      <w:r>
        <w:t xml:space="preserve"> </w:t>
      </w:r>
      <w:r>
        <w:rPr>
          <w:bCs/>
          <w:b/>
        </w:rPr>
        <w:t xml:space="preserve">Profit Pro (Nelogica)</w:t>
      </w:r>
      <w:r>
        <w:t xml:space="preserve"> </w:t>
      </w:r>
      <w:r>
        <w:t xml:space="preserve">instalado e o servidor RTD ativo (ver</w:t>
      </w:r>
      <w:r>
        <w:t xml:space="preserve"> </w:t>
      </w:r>
      <w:r>
        <w:rPr>
          <w:rStyle w:val="VerbatimChar"/>
        </w:rPr>
        <w:t xml:space="preserve">docs/MANUAL_PROFIT_RTD.md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Navegadores:</w:t>
      </w:r>
      <w:r>
        <w:t xml:space="preserve"> </w:t>
      </w:r>
      <w:r>
        <w:t xml:space="preserve">Chrome/Edge (recomendados) — a tela funciona em desktop, notebook, tablet e telas menores.</w:t>
      </w:r>
    </w:p>
    <w:p>
      <w:r>
        <w:pict>
          <v:rect style="width:0;height:1.5pt" o:hralign="center" o:hrstd="t" o:hr="t"/>
        </w:pict>
      </w:r>
    </w:p>
    <w:bookmarkEnd w:id="20"/>
    <w:bookmarkStart w:id="22" w:name="X0c341289388a0652eaa4796cd8339293ff9d25e"/>
    <w:p>
      <w:pPr>
        <w:pStyle w:val="Heading2"/>
      </w:pPr>
      <w:r>
        <w:t xml:space="preserve">2. Instalação rápida com Docker (produção recomendado)</w:t>
      </w:r>
    </w:p>
    <w:p>
      <w:pPr>
        <w:pStyle w:val="SourceCode"/>
      </w:pPr>
      <w:r>
        <w:rPr>
          <w:rStyle w:val="CommentTok"/>
        </w:rPr>
        <w:t xml:space="preserve"># 1. Obter o projeto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seu-repositorio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/thlpro.git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thlpro</w:t>
      </w:r>
      <w:r>
        <w:br/>
      </w:r>
      <w:r>
        <w:br/>
      </w:r>
      <w:r>
        <w:rPr>
          <w:rStyle w:val="CommentTok"/>
        </w:rPr>
        <w:t xml:space="preserve"># 2. Configurar variáveis de ambiente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  → EDITE .env: troque POSTGRES_PASSWORD, SECRET_KEY e ADMIN_PASSWORD (obrigatório!)</w:t>
      </w:r>
      <w:r>
        <w:br/>
      </w:r>
      <w:r>
        <w:br/>
      </w:r>
      <w:r>
        <w:rPr>
          <w:rStyle w:val="CommentTok"/>
        </w:rPr>
        <w:t xml:space="preserve"># 3. Subir os serviços (db, api, web)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4. Acompanhar a inicialização (api roda migrações + seed automaticamente)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5. Acessar</w:t>
      </w:r>
      <w:r>
        <w:br/>
      </w:r>
      <w:r>
        <w:rPr>
          <w:rStyle w:val="CommentTok"/>
        </w:rPr>
        <w:t xml:space="preserve">#   http://localhost                → frontend (tela de login)</w:t>
      </w:r>
      <w:r>
        <w:br/>
      </w:r>
      <w:r>
        <w:rPr>
          <w:rStyle w:val="CommentTok"/>
        </w:rPr>
        <w:t xml:space="preserve">#   http://localhost/health         → status da API</w:t>
      </w:r>
      <w:r>
        <w:br/>
      </w:r>
      <w:r>
        <w:rPr>
          <w:rStyle w:val="CommentTok"/>
        </w:rPr>
        <w:t xml:space="preserve">#   http://localhost/docs           → Swagger/OpenAPI</w:t>
      </w:r>
      <w:r>
        <w:br/>
      </w:r>
      <w:r>
        <w:rPr>
          <w:rStyle w:val="CommentTok"/>
        </w:rPr>
        <w:t xml:space="preserve"># Credenciais iniciais: ADMIN_EMAIL / ADMIN_PASSWORD do .env</w:t>
      </w:r>
    </w:p>
    <w:p>
      <w:pPr>
        <w:pStyle w:val="FirstParagraph"/>
      </w:pPr>
      <w:r>
        <w:t xml:space="preserve">A API só começa a atender depois que o banco estiver saudável (healthcheck) e as migrações+seed terminarem.</w:t>
      </w:r>
    </w:p>
    <w:bookmarkStart w:id="21" w:name="com-redis-opcional-escala-horizontal"/>
    <w:p>
      <w:pPr>
        <w:pStyle w:val="Heading3"/>
      </w:pPr>
      <w:r>
        <w:t xml:space="preserve">2.1 Com Redis (opcional, escala horizontal)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with-redis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e no .env: USE_REDIS=true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nstalação-manual-desenvolvimento"/>
    <w:p>
      <w:pPr>
        <w:pStyle w:val="Heading2"/>
      </w:pPr>
      <w:r>
        <w:t xml:space="preserve">3. Instalação manual (desenvolvimento)</w:t>
      </w:r>
    </w:p>
    <w:bookmarkStart w:id="23" w:name="backend"/>
    <w:p>
      <w:pPr>
        <w:pStyle w:val="Heading3"/>
      </w:pPr>
      <w:r>
        <w:t xml:space="preserve">3.1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ajuste DATABASE_URL e SECRET_KEY</w:t>
      </w:r>
      <w:r>
        <w:br/>
      </w:r>
      <w:r>
        <w:br/>
      </w:r>
      <w:r>
        <w:rPr>
          <w:rStyle w:val="CommentTok"/>
        </w:rPr>
        <w:t xml:space="preserve"># PostgreSQL 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createdb thlpro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createdb thlpro_test   </w:t>
      </w:r>
      <w:r>
        <w:rPr>
          <w:rStyle w:val="CommentTok"/>
        </w:rPr>
        <w:t xml:space="preserve"># só para testes</w:t>
      </w:r>
      <w:r>
        <w:br/>
      </w:r>
      <w:r>
        <w:br/>
      </w:r>
      <w:r>
        <w:rPr>
          <w:rStyle w:val="CommentTok"/>
        </w:rPr>
        <w:t xml:space="preserve"># Migrações + seed (admin + ativos BOVA11 e ABEV3)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</w:t>
      </w:r>
      <w:r>
        <w:br/>
      </w:r>
      <w:r>
        <w:br/>
      </w:r>
      <w:r>
        <w:rPr>
          <w:rStyle w:val="CommentTok"/>
        </w:rPr>
        <w:t xml:space="preserve"># API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rPr>
          <w:rStyle w:val="CommentTok"/>
        </w:rPr>
        <w:t xml:space="preserve">#   Swagger: http://localhost:8000/docs</w:t>
      </w:r>
    </w:p>
    <w:bookmarkEnd w:id="23"/>
    <w:bookmarkStart w:id="24" w:name="frontend"/>
    <w:p>
      <w:pPr>
        <w:pStyle w:val="Heading3"/>
      </w:pPr>
      <w:r>
        <w:t xml:space="preserve">3.2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</w:t>
      </w:r>
      <w:r>
        <w:rPr>
          <w:rStyle w:val="CommentTok"/>
        </w:rPr>
        <w:t xml:space="preserve"># http://localhost:5173 (proxy /api e /ws para o backend local)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</w:t>
      </w:r>
      <w:r>
        <w:rPr>
          <w:rStyle w:val="CommentTok"/>
        </w:rPr>
        <w:t xml:space="preserve"># build de produção em dist/</w:t>
      </w:r>
    </w:p>
    <w:bookmarkEnd w:id="24"/>
    <w:bookmarkStart w:id="25" w:name="cliente-windows-na-máquina-do-profit"/>
    <w:p>
      <w:pPr>
        <w:pStyle w:val="Heading3"/>
      </w:pPr>
      <w:r>
        <w:t xml:space="preserve">3.3 Cliente Windows (na máquina do Profit)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docs/MANUAL_PROFIT_RTD.md</w:t>
      </w:r>
      <w:r>
        <w:t xml:space="preserve"> </w:t>
      </w:r>
      <w:r>
        <w:t xml:space="preserve">(configuração do Profit/RTD) e</w:t>
      </w:r>
      <w:r>
        <w:t xml:space="preserve"> </w:t>
      </w:r>
      <w:r>
        <w:rPr>
          <w:rStyle w:val="VerbatimChar"/>
        </w:rPr>
        <w:t xml:space="preserve">client/README.md</w:t>
      </w:r>
      <w:r>
        <w:t xml:space="preserve"> </w:t>
      </w:r>
      <w:r>
        <w:t xml:space="preserve">(build do .exe com PyInstaller e instalador Inno Setup). Resumo:</w:t>
      </w:r>
    </w:p>
    <w:p>
      <w:pPr>
        <w:pStyle w:val="SourceCode"/>
      </w:pPr>
      <w:r>
        <w:rPr>
          <w:rStyle w:val="VerbatimChar"/>
        </w:rPr>
        <w:t xml:space="preserve">cd client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build_win.bat          :: gera dist/THLProClient.exe (PyInstaller)</w:t>
      </w:r>
      <w:r>
        <w:br/>
      </w:r>
      <w:r>
        <w:rPr>
          <w:rStyle w:val="VerbatimChar"/>
        </w:rPr>
        <w:t xml:space="preserve">:: Instalar com Instalador THLPro.iss (Inno Setup) — gera o instalador .exe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uncionamento-do-fluxo-de-dados"/>
    <w:p>
      <w:pPr>
        <w:pStyle w:val="Heading2"/>
      </w:pPr>
      <w:r>
        <w:t xml:space="preserve">4. Funcionamento do fluxo de dados</w:t>
      </w:r>
    </w:p>
    <w:p>
      <w:pPr>
        <w:numPr>
          <w:ilvl w:val="0"/>
          <w:numId w:val="1002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cliente Windows</w:t>
      </w:r>
      <w:r>
        <w:t xml:space="preserve"> </w:t>
      </w:r>
      <w:r>
        <w:t xml:space="preserve">lê do Profit (RTD</w:t>
      </w:r>
      <w:r>
        <w:t xml:space="preserve"> </w:t>
      </w:r>
      <w:r>
        <w:rPr>
          <w:rStyle w:val="VerbatimChar"/>
        </w:rPr>
        <w:t xml:space="preserve">rtdtrading.rtdserver</w:t>
      </w:r>
      <w:r>
        <w:t xml:space="preserve">) o último preço (</w:t>
      </w:r>
      <w:r>
        <w:rPr>
          <w:rStyle w:val="VerbatimChar"/>
        </w:rPr>
        <w:t xml:space="preserve">ULT</w:t>
      </w:r>
      <w:r>
        <w:t xml:space="preserve">), BID (</w:t>
      </w:r>
      <w:r>
        <w:rPr>
          <w:rStyle w:val="VerbatimChar"/>
        </w:rPr>
        <w:t xml:space="preserve">OCP</w:t>
      </w:r>
      <w:r>
        <w:t xml:space="preserve">), ASK (</w:t>
      </w:r>
      <w:r>
        <w:rPr>
          <w:rStyle w:val="VerbatimChar"/>
        </w:rPr>
        <w:t xml:space="preserve">OVD</w:t>
      </w:r>
      <w:r>
        <w:t xml:space="preserve">), vencimento (</w:t>
      </w:r>
      <w:r>
        <w:rPr>
          <w:rStyle w:val="VerbatimChar"/>
        </w:rPr>
        <w:t xml:space="preserve">VEN</w:t>
      </w:r>
      <w:r>
        <w:t xml:space="preserve">) e strike (</w:t>
      </w:r>
      <w:r>
        <w:rPr>
          <w:rStyle w:val="VerbatimChar"/>
        </w:rPr>
        <w:t xml:space="preserve">PEX</w:t>
      </w:r>
      <w:r>
        <w:t xml:space="preserve">) das séries ativas.</w:t>
      </w:r>
    </w:p>
    <w:p>
      <w:pPr>
        <w:numPr>
          <w:ilvl w:val="0"/>
          <w:numId w:val="1002"/>
        </w:numPr>
        <w:pStyle w:val="Compact"/>
      </w:pPr>
      <w:r>
        <w:t xml:space="preserve">Ele envia as cotações para o backend (</w:t>
      </w:r>
      <w:r>
        <w:rPr>
          <w:rStyle w:val="VerbatimChar"/>
        </w:rPr>
        <w:t xml:space="preserve">POST /clients/quotes</w:t>
      </w:r>
      <w:r>
        <w:t xml:space="preserve">), que valida (timestamp, anti-rollback, regra de prioridade entre clientes) e grava no PostgreSQL.</w:t>
      </w:r>
    </w:p>
    <w:p>
      <w:pPr>
        <w:numPr>
          <w:ilvl w:val="0"/>
          <w:numId w:val="1002"/>
        </w:numPr>
        <w:pStyle w:val="Compact"/>
      </w:pPr>
      <w:r>
        <w:t xml:space="preserve">O backend</w:t>
      </w:r>
      <w:r>
        <w:t xml:space="preserve"> </w:t>
      </w:r>
      <w:r>
        <w:rPr>
          <w:bCs/>
          <w:b/>
        </w:rPr>
        <w:t xml:space="preserve">publica</w:t>
      </w:r>
      <w:r>
        <w:t xml:space="preserve"> </w:t>
      </w:r>
      <w:r>
        <w:t xml:space="preserve">a atualização via WebSocket (</w:t>
      </w:r>
      <w:r>
        <w:rPr>
          <w:rStyle w:val="VerbatimChar"/>
        </w:rPr>
        <w:t xml:space="preserve">/ws/market-data</w:t>
      </w:r>
      <w:r>
        <w:t xml:space="preserve">) para</w:t>
      </w:r>
      <w:r>
        <w:t xml:space="preserve"> </w:t>
      </w:r>
      <w:r>
        <w:rPr>
          <w:bCs/>
          <w:b/>
        </w:rPr>
        <w:t xml:space="preserve">todos os usuários conectados</w:t>
      </w:r>
      <w:r>
        <w:t xml:space="preserve"> </w:t>
      </w:r>
      <w:r>
        <w:t xml:space="preserve">— cada tela atualiza sem recarregar, mantendo suas próprias preferências (ativo, strike, tema).</w:t>
      </w:r>
    </w:p>
    <w:p>
      <w:pPr>
        <w:numPr>
          <w:ilvl w:val="0"/>
          <w:numId w:val="1002"/>
        </w:numPr>
        <w:pStyle w:val="Compact"/>
      </w:pPr>
      <w:r>
        <w:t xml:space="preserve">A sincronização das</w:t>
      </w:r>
      <w:r>
        <w:t xml:space="preserve"> </w:t>
      </w:r>
      <w:r>
        <w:rPr>
          <w:bCs/>
          <w:b/>
        </w:rPr>
        <w:t xml:space="preserve">séries de opções</w:t>
      </w:r>
      <w:r>
        <w:t xml:space="preserve"> </w:t>
      </w:r>
      <w:r>
        <w:t xml:space="preserve">(códigos, strikes, vencimentos) é feita pelo arquivo oficial da B3, manualmente ou em intervalos programados:</w:t>
      </w:r>
      <w:r>
        <w:t xml:space="preserve"> </w:t>
      </w:r>
      <w:r>
        <w:rPr>
          <w:rStyle w:val="VerbatimChar"/>
        </w:rPr>
        <w:t xml:space="preserve">POST /options/synchronize</w:t>
      </w:r>
      <w:r>
        <w:t xml:space="preserve"> </w:t>
      </w:r>
      <w:r>
        <w:t xml:space="preserve">(admin).</w:t>
      </w:r>
    </w:p>
    <w:p>
      <w:r>
        <w:pict>
          <v:rect style="width:0;height:1.5pt" o:hralign="center" o:hrstd="t" o:hr="t"/>
        </w:pict>
      </w:r>
    </w:p>
    <w:bookmarkEnd w:id="27"/>
    <w:bookmarkStart w:id="28" w:name="produção-https"/>
    <w:p>
      <w:pPr>
        <w:pStyle w:val="Heading2"/>
      </w:pPr>
      <w:r>
        <w:t xml:space="preserve">5. Produção — HTTPS</w:t>
      </w:r>
    </w:p>
    <w:p>
      <w:pPr>
        <w:pStyle w:val="FirstParagraph"/>
      </w:pPr>
      <w:r>
        <w:t xml:space="preserve">Com nginx exposto (portas 80/443 no compose), habilite TLS: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cp nginx/certs.crt web:/etc/nginx/conf.d/  </w:t>
      </w:r>
      <w:r>
        <w:rPr>
          <w:rStyle w:val="CommentTok"/>
        </w:rPr>
        <w:t xml:space="preserve"># ou use certbot: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web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"apk add certbot certbot-nginx"</w:t>
      </w:r>
    </w:p>
    <w:p>
      <w:pPr>
        <w:pStyle w:val="FirstParagraph"/>
      </w:pPr>
      <w:r>
        <w:t xml:space="preserve">Ou, mais simples: coloque o</w:t>
      </w:r>
      <w:r>
        <w:t xml:space="preserve"> </w:t>
      </w:r>
      <w:r>
        <w:rPr>
          <w:bCs/>
          <w:b/>
        </w:rPr>
        <w:t xml:space="preserve">nginx do host</w:t>
      </w:r>
      <w:r>
        <w:t xml:space="preserve"> </w:t>
      </w:r>
      <w:r>
        <w:t xml:space="preserve">(ou um reverse proxy como Caddy/Traefik) na frente e aponte para</w:t>
      </w:r>
      <w:r>
        <w:t xml:space="preserve"> </w:t>
      </w:r>
      <w:r>
        <w:rPr>
          <w:rStyle w:val="VerbatimChar"/>
        </w:rPr>
        <w:t xml:space="preserve">localhost:80</w:t>
      </w:r>
      <w:r>
        <w:t xml:space="preserve"> </w:t>
      </w:r>
      <w:r>
        <w:t xml:space="preserve">do compose — recomendado para subdomínios com certificados automáticos.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em produção, sirva por HTTPS, troque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/senhas e restrinja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backup-do-banco"/>
    <w:p>
      <w:pPr>
        <w:pStyle w:val="Heading2"/>
      </w:pPr>
      <w:r>
        <w:t xml:space="preserve">6. Backup do banco</w:t>
      </w:r>
    </w:p>
    <w:p>
      <w:pPr>
        <w:pStyle w:val="SourceCode"/>
      </w:pPr>
      <w:r>
        <w:rPr>
          <w:rStyle w:val="CommentTok"/>
        </w:rPr>
        <w:t xml:space="preserve"># Dentro do container: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thlpro thlpro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Restaurar: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db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thlpro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thlpro </w:t>
      </w:r>
      <w:r>
        <w:rPr>
          <w:rStyle w:val="AttributeTok"/>
        </w:rPr>
        <w:t xml:space="preserve">--clean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backup.dump</w:t>
      </w:r>
    </w:p>
    <w:p>
      <w:pPr>
        <w:pStyle w:val="FirstParagraph"/>
      </w:pPr>
      <w:r>
        <w:t xml:space="preserve">Sugestão: agende o dump diário em crontab (horário sem movimento — após 22h e antes das 9h da B3) e retenha 30 dias.</w:t>
      </w:r>
    </w:p>
    <w:p>
      <w:r>
        <w:pict>
          <v:rect style="width:0;height:1.5pt" o:hralign="center" o:hrstd="t" o:hr="t"/>
        </w:pict>
      </w:r>
    </w:p>
    <w:bookmarkEnd w:id="29"/>
    <w:bookmarkStart w:id="30" w:name="atualização-do-sistema"/>
    <w:p>
      <w:pPr>
        <w:pStyle w:val="Heading2"/>
      </w:pPr>
      <w:r>
        <w:t xml:space="preserve">7. Atualização do sistema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thlpro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migrações rodam automaticamente na subida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        </w:t>
      </w:r>
      <w:r>
        <w:rPr>
          <w:rStyle w:val="CommentTok"/>
        </w:rPr>
        <w:t xml:space="preserve"># confirme "alembic upgrade head" sem erros</w:t>
      </w:r>
    </w:p>
    <w:p>
      <w:r>
        <w:pict>
          <v:rect style="width:0;height:1.5pt" o:hralign="center" o:hrstd="t" o:hr="t"/>
        </w:pict>
      </w:r>
    </w:p>
    <w:bookmarkEnd w:id="30"/>
    <w:bookmarkStart w:id="31" w:name="telas-e-perfis"/>
    <w:p>
      <w:pPr>
        <w:pStyle w:val="Heading2"/>
      </w:pPr>
      <w:r>
        <w:t xml:space="preserve">8. Telas e perfis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Usuário comum:</w:t>
      </w:r>
      <w:r>
        <w:t xml:space="preserve"> </w:t>
      </w:r>
      <w:r>
        <w:t xml:space="preserve">login, tela principal (ativos, strikes, CALL/PUT, gráficos), preferências individuais.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Administrador:</w:t>
      </w:r>
      <w:r>
        <w:t xml:space="preserve"> </w:t>
      </w:r>
      <w:r>
        <w:t xml:space="preserve">usuários, ativos, clientes/diagnóstico, logs, sincronização B3, configurações do sistema (tolerância de strike, tempo de validade do dado, modo simulação).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Documentação de instalação — THLPro. Consulte também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docs/API.md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docs/MANUAL_USUARIO.md</w:t>
      </w:r>
      <w:r>
        <w:rPr>
          <w:iCs/>
          <w:i/>
        </w:rPr>
        <w:t xml:space="preserve"> </w:t>
      </w:r>
      <w:r>
        <w:rPr>
          <w:iCs/>
          <w:i/>
        </w:rPr>
        <w:t xml:space="preserve">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docs/MANUAL_PROFIT_RTD.md</w:t>
      </w:r>
      <w:r>
        <w:rPr>
          <w:iCs/>
          <w:i/>
        </w:rPr>
        <w:t xml:space="preserve">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2026-10-08T14:39:21Z</dcterms:created>
  <dcterms:modified xsi:type="dcterms:W3CDTF">2026-10-08T14:39:21Z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