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thlpro-manual-de-configuração-profitrtd"/>
    <w:p>
      <w:pPr>
        <w:pStyle w:val="Heading1"/>
      </w:pPr>
      <w:r>
        <w:t xml:space="preserve">THLPro — Manual de Configuração Profit/RTD</w:t>
      </w:r>
    </w:p>
    <w:p>
      <w:pPr>
        <w:pStyle w:val="FirstParagraph"/>
      </w:pPr>
      <w:r>
        <w:t xml:space="preserve">Este manual descreve como o cliente local THLPro lê dados do</w:t>
      </w:r>
      <w:r>
        <w:t xml:space="preserve"> </w:t>
      </w:r>
      <w:r>
        <w:rPr>
          <w:bCs/>
          <w:b/>
        </w:rPr>
        <w:t xml:space="preserve">Profit Pro (Nelogica)</w:t>
      </w:r>
      <w:r>
        <w:t xml:space="preserve"> </w:t>
      </w:r>
      <w:r>
        <w:t xml:space="preserve">via</w:t>
      </w:r>
      <w:r>
        <w:t xml:space="preserve"> </w:t>
      </w:r>
      <w:r>
        <w:rPr>
          <w:bCs/>
          <w:b/>
        </w:rPr>
        <w:t xml:space="preserve">RTD</w:t>
      </w:r>
      <w:r>
        <w:t xml:space="preserve"> </w:t>
      </w:r>
      <w:r>
        <w:t xml:space="preserve">e como configurar o ambiente.</w:t>
      </w:r>
    </w:p>
    <w:p>
      <w:pPr>
        <w:pStyle w:val="BlockText"/>
      </w:pPr>
      <w:r>
        <w:t xml:space="preserve">Detalhes operacionais do código do cliente: ver</w:t>
      </w:r>
      <w:r>
        <w:t xml:space="preserve"> </w:t>
      </w:r>
      <w:r>
        <w:rPr>
          <w:rStyle w:val="VerbatimChar"/>
        </w:rPr>
        <w:t xml:space="preserve">client/README.md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client/CONFIGURACAO_PROFIT_RTD.md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22" w:name="conceito-o-que-é-o-rtd"/>
    <w:p>
      <w:pPr>
        <w:pStyle w:val="Heading2"/>
      </w:pPr>
      <w:r>
        <w:t xml:space="preserve">1. Conceito: o que é o RTD</w:t>
      </w:r>
    </w:p>
    <w:p>
      <w:pPr>
        <w:pStyle w:val="FirstParagraph"/>
      </w:pPr>
      <w:r>
        <w:t xml:space="preserve">O Profit expõe cotações em tempo real por um servidor COM chamado</w:t>
      </w:r>
      <w:r>
        <w:t xml:space="preserve"> </w:t>
      </w:r>
      <w:r>
        <w:rPr>
          <w:rStyle w:val="VerbatimChar"/>
          <w:bCs/>
          <w:b/>
        </w:rPr>
        <w:t xml:space="preserve">rtdtrading.rtdserver</w:t>
      </w:r>
      <w:r>
        <w:t xml:space="preserve"> </w:t>
      </w:r>
      <w:r>
        <w:t xml:space="preserve">(o mesmo mecanismo que a planilha THLPro utiliza nas fórmulas</w:t>
      </w:r>
      <w:r>
        <w:t xml:space="preserve"> </w:t>
      </w:r>
      <w:r>
        <w:rPr>
          <w:rStyle w:val="VerbatimChar"/>
        </w:rPr>
        <w:t xml:space="preserve">RTD("rtdtrading.rtdserver", ...)</w:t>
      </w:r>
      <w:r>
        <w:t xml:space="preserve">). O servidor RTD entrega valores sob demanda por</w:t>
      </w:r>
      <w:r>
        <w:t xml:space="preserve"> </w:t>
      </w:r>
      <w:r>
        <w:rPr>
          <w:bCs/>
          <w:b/>
        </w:rPr>
        <w:t xml:space="preserve">tópico</w:t>
      </w:r>
      <w:r>
        <w:t xml:space="preserve">, identificado pelo papél + código da série.</w:t>
      </w:r>
    </w:p>
    <w:bookmarkStart w:id="20" w:name="tópico-padrão-usado-pelo-sistema"/>
    <w:p>
      <w:pPr>
        <w:pStyle w:val="Heading3"/>
      </w:pPr>
      <w:r>
        <w:t xml:space="preserve">Tópico padrão usado pelo sistema</w:t>
      </w:r>
    </w:p>
    <w:p>
      <w:pPr>
        <w:pStyle w:val="SourceCode"/>
      </w:pPr>
      <w:r>
        <w:rPr>
          <w:rStyle w:val="VerbatimChar"/>
        </w:rPr>
        <w:t xml:space="preserve">&lt;ATIVO&gt;&lt;CÓDIGO&gt;_B_0</w:t>
      </w:r>
    </w:p>
    <w:p>
      <w:pPr>
        <w:pStyle w:val="FirstParagraph"/>
      </w:pPr>
      <w:r>
        <w:t xml:space="preserve">Exemplos (mesmos da planilha original):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Série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Tópico RTD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BOVA11 CALL strike 200 venc. out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BOVAJ40_B_0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BOVA11 PUT strike 185 venc. out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BOVAV37_B_0</w:t>
            </w:r>
          </w:p>
        </w:tc>
      </w:tr>
    </w:tbl>
    <w:bookmarkEnd w:id="20"/>
    <w:bookmarkStart w:id="21" w:name="campos-lidos-por-tópico"/>
    <w:p>
      <w:pPr>
        <w:pStyle w:val="Heading3"/>
      </w:pPr>
      <w:r>
        <w:t xml:space="preserve">Campos lidos por tópico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Campo RTD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Significado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Uso no THLPro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Último preço negociado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last_price</w:t>
            </w:r>
            <w:r>
              <w:t xml:space="preserve"> </w:t>
            </w:r>
            <w:r>
              <w:t xml:space="preserve">/ prêmio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Melhor oferta de compra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OVD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Melhor oferta de venda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de vencimento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expiration_date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Preço de exercício (strike)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strike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End w:id="22"/>
    <w:bookmarkStart w:id="23" w:name="requisitos-na-máquina-de-operação"/>
    <w:p>
      <w:pPr>
        <w:pStyle w:val="Heading2"/>
      </w:pPr>
      <w:r>
        <w:t xml:space="preserve">2. Requisitos na máquina de operação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Windows 10/11 64-bit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Profit Pro</w:t>
      </w:r>
      <w:r>
        <w:t xml:space="preserve"> </w:t>
      </w:r>
      <w:r>
        <w:t xml:space="preserve">instalado, logado e com cotações sendo recebidas normalmente.</w:t>
      </w:r>
    </w:p>
    <w:p>
      <w:pPr>
        <w:numPr>
          <w:ilvl w:val="0"/>
          <w:numId w:val="1001"/>
        </w:numPr>
        <w:pStyle w:val="Compact"/>
      </w:pPr>
      <w:r>
        <w:t xml:space="preserve">O servidor RTD</w:t>
      </w:r>
      <w:r>
        <w:t xml:space="preserve"> </w:t>
      </w:r>
      <w:r>
        <w:rPr>
          <w:rStyle w:val="VerbatimChar"/>
          <w:bCs/>
          <w:b/>
        </w:rPr>
        <w:t xml:space="preserve">rtdtrading.rtdserver</w:t>
      </w:r>
      <w:r>
        <w:t xml:space="preserve"> </w:t>
      </w:r>
      <w:r>
        <w:t xml:space="preserve">disponível (é registrado pelo próprio Profit — verifique se a planilha original atualiza neste computador; se atualiza, o RTD está OK).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Python 3.12 (64-bit)</w:t>
      </w:r>
      <w:r>
        <w:t xml:space="preserve"> </w:t>
      </w:r>
      <w:r>
        <w:t xml:space="preserve">apenas para gerar o .exe (a instalação final não exige Python).</w:t>
      </w:r>
    </w:p>
    <w:p>
      <w:pPr>
        <w:numPr>
          <w:ilvl w:val="0"/>
          <w:numId w:val="1001"/>
        </w:numPr>
        <w:pStyle w:val="Compact"/>
      </w:pPr>
      <w:r>
        <w:t xml:space="preserve">Permissão para o executável THLProClient.exe rodar em segundo plano (antivírus/firewall liberados para HTTP/HTTPS e WebSocket para o servidor THLPro).</w:t>
      </w:r>
    </w:p>
    <w:p>
      <w:r>
        <w:pict>
          <v:rect style="width:0;height:1.5pt" o:hralign="center" o:hrstd="t" o:hr="t"/>
        </w:pict>
      </w:r>
    </w:p>
    <w:bookmarkEnd w:id="23"/>
    <w:bookmarkStart w:id="24" w:name="como-o-thlpro-acessa-o-rtd"/>
    <w:p>
      <w:pPr>
        <w:pStyle w:val="Heading2"/>
      </w:pPr>
      <w:r>
        <w:t xml:space="preserve">3. Como o THLPro acessa o RTD</w:t>
      </w:r>
    </w:p>
    <w:p>
      <w:pPr>
        <w:pStyle w:val="FirstParagraph"/>
      </w:pPr>
      <w:r>
        <w:t xml:space="preserve">O cliente usa duas camadas: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ComRTDClient</w:t>
      </w:r>
      <w:r>
        <w:t xml:space="preserve"> </w:t>
      </w:r>
      <w:r>
        <w:t xml:space="preserve">— acesso direto ao servidor COM</w:t>
      </w:r>
      <w:r>
        <w:t xml:space="preserve"> </w:t>
      </w:r>
      <w:r>
        <w:rPr>
          <w:rStyle w:val="VerbatimChar"/>
        </w:rPr>
        <w:t xml:space="preserve">rtdtrading.rtdserver</w:t>
      </w:r>
      <w:r>
        <w:t xml:space="preserve"> </w:t>
      </w:r>
      <w:r>
        <w:t xml:space="preserve">(mesmo provedor da planilha). Assina os tópicos das séries ativas recebidas do servidor (</w:t>
      </w:r>
      <w:r>
        <w:rPr>
          <w:rStyle w:val="VerbatimChar"/>
        </w:rPr>
        <w:t xml:space="preserve">GET /clients/config</w:t>
      </w:r>
      <w:r>
        <w:t xml:space="preserve">) e consome</w:t>
      </w:r>
      <w:r>
        <w:t xml:space="preserve"> </w:t>
      </w:r>
      <w:r>
        <w:rPr>
          <w:rStyle w:val="VerbatimChar"/>
        </w:rPr>
        <w:t xml:space="preserve">ULT/OCP/OVD/VEN/PEX</w:t>
      </w:r>
      <w:r>
        <w:t xml:space="preserve">. A leitura é por eventos quando suportada, com fallback de polling curto (500 ms–1 s) por tópico — comportamento idêntico ao observado na planilha, sem travamentos no Profit.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ProfitApiRtdClient</w:t>
      </w:r>
      <w:r>
        <w:t xml:space="preserve"> </w:t>
      </w:r>
      <w:r>
        <w:t xml:space="preserve">— stub documentado para integração via API/plugin oficial da Nelogica, caso você prefira liberar o acesso programático explícito do Profit (a API oficial da Nelogica é licenciada/contratada separadamente; se você tiver acesso, seguimos as instruções do stub).</w:t>
      </w:r>
    </w:p>
    <w:p>
      <w:pPr>
        <w:pStyle w:val="BlockText"/>
      </w:pPr>
      <w:r>
        <w:t xml:space="preserve">Se o</w:t>
      </w:r>
      <w:r>
        <w:t xml:space="preserve"> </w:t>
      </w:r>
      <w:r>
        <w:rPr>
          <w:bCs/>
          <w:b/>
        </w:rPr>
        <w:t xml:space="preserve">acesso COM direto</w:t>
      </w:r>
      <w:r>
        <w:t xml:space="preserve"> </w:t>
      </w:r>
      <w:r>
        <w:t xml:space="preserve">não funcionar no seu ambiente (variação de produto/versão), o fallback da planilha continua válido: uma instância do</w:t>
      </w:r>
      <w:r>
        <w:t xml:space="preserve"> </w:t>
      </w:r>
      <w:r>
        <w:rPr>
          <w:bCs/>
          <w:b/>
        </w:rPr>
        <w:t xml:space="preserve">Excel em modo oculto</w:t>
      </w:r>
      <w:r>
        <w:t xml:space="preserve"> </w:t>
      </w:r>
      <w:r>
        <w:t xml:space="preserve">assinando fórmulas RTD e publicando os valores para o cliente. Essa alternativa está documentada no código (</w:t>
      </w:r>
      <w:r>
        <w:rPr>
          <w:rStyle w:val="VerbatimChar"/>
        </w:rPr>
        <w:t xml:space="preserve">client/CONFIGURACAO_PROFIT_RTD.md</w:t>
      </w:r>
      <w:r>
        <w:t xml:space="preserve">), mas só será necessária em ambientes onde o COM direto for bloqueado.</w:t>
      </w:r>
    </w:p>
    <w:p>
      <w:r>
        <w:pict>
          <v:rect style="width:0;height:1.5pt" o:hralign="center" o:hrstd="t" o:hr="t"/>
        </w:pict>
      </w:r>
    </w:p>
    <w:bookmarkEnd w:id="24"/>
    <w:bookmarkStart w:id="26" w:name="configuração-do-cliente"/>
    <w:p>
      <w:pPr>
        <w:pStyle w:val="Heading2"/>
      </w:pPr>
      <w:r>
        <w:t xml:space="preserve">4. Configuração do cliente</w:t>
      </w:r>
    </w:p>
    <w:p>
      <w:pPr>
        <w:numPr>
          <w:ilvl w:val="0"/>
          <w:numId w:val="1003"/>
        </w:numPr>
        <w:pStyle w:val="Compact"/>
      </w:pPr>
      <w:r>
        <w:t xml:space="preserve">Instale o</w:t>
      </w:r>
      <w:r>
        <w:t xml:space="preserve"> </w:t>
      </w:r>
      <w:r>
        <w:rPr>
          <w:bCs/>
          <w:b/>
        </w:rPr>
        <w:t xml:space="preserve">THLProClient.exe</w:t>
      </w:r>
      <w:r>
        <w:t xml:space="preserve"> </w:t>
      </w:r>
      <w:r>
        <w:t xml:space="preserve">(instalador Inno Setup) na máquina do Profit.</w:t>
      </w:r>
    </w:p>
    <w:p>
      <w:pPr>
        <w:numPr>
          <w:ilvl w:val="0"/>
          <w:numId w:val="1003"/>
        </w:numPr>
        <w:pStyle w:val="Compact"/>
      </w:pPr>
      <w:r>
        <w:t xml:space="preserve">Abra o cliente pela bandeja do Windows (ícone THLPro) →</w:t>
      </w:r>
      <w:r>
        <w:t xml:space="preserve"> </w:t>
      </w:r>
      <w:r>
        <w:rPr>
          <w:bCs/>
          <w:b/>
        </w:rPr>
        <w:t xml:space="preserve">Configurações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Preencha:</w:t>
      </w:r>
    </w:p>
    <w:p>
      <w:pPr>
        <w:numPr>
          <w:ilvl w:val="1"/>
          <w:numId w:val="1004"/>
        </w:numPr>
        <w:pStyle w:val="Compact"/>
      </w:pPr>
      <w:r>
        <w:rPr>
          <w:bCs/>
          <w:b/>
        </w:rPr>
        <w:t xml:space="preserve">URL do servidor</w:t>
      </w:r>
      <w:r>
        <w:t xml:space="preserve">: endereço do backend THLPro (ex.:</w:t>
      </w:r>
      <w:r>
        <w:t xml:space="preserve"> </w:t>
      </w:r>
      <w:r>
        <w:rPr>
          <w:rStyle w:val="VerbatimChar"/>
        </w:rPr>
        <w:t xml:space="preserve">https://thlpro.suaempresa.com</w:t>
      </w:r>
      <w:r>
        <w:t xml:space="preserve">).</w:t>
      </w:r>
    </w:p>
    <w:p>
      <w:pPr>
        <w:numPr>
          <w:ilvl w:val="1"/>
          <w:numId w:val="1004"/>
        </w:numPr>
        <w:pStyle w:val="Compact"/>
      </w:pPr>
      <w:r>
        <w:rPr>
          <w:bCs/>
          <w:b/>
        </w:rPr>
        <w:t xml:space="preserve">E-mail/Senha</w:t>
      </w:r>
      <w:r>
        <w:t xml:space="preserve">: usuário com permissão no sistema.</w:t>
      </w:r>
    </w:p>
    <w:p>
      <w:pPr>
        <w:numPr>
          <w:ilvl w:val="1"/>
          <w:numId w:val="1004"/>
        </w:numPr>
        <w:pStyle w:val="Compact"/>
      </w:pPr>
      <w:r>
        <w:rPr>
          <w:bCs/>
          <w:b/>
        </w:rPr>
        <w:t xml:space="preserve">Nome do cliente</w:t>
      </w:r>
      <w:r>
        <w:t xml:space="preserve"> </w:t>
      </w:r>
      <w:r>
        <w:t xml:space="preserve">e</w:t>
      </w:r>
      <w:r>
        <w:t xml:space="preserve"> </w:t>
      </w:r>
      <w:r>
        <w:rPr>
          <w:bCs/>
          <w:b/>
        </w:rPr>
        <w:t xml:space="preserve">computador</w:t>
      </w:r>
      <w:r>
        <w:t xml:space="preserve">: identificação da máquina (aparece no diagnóstico).</w:t>
      </w:r>
    </w:p>
    <w:p>
      <w:pPr>
        <w:numPr>
          <w:ilvl w:val="0"/>
          <w:numId w:val="1003"/>
        </w:numPr>
        <w:pStyle w:val="Compact"/>
      </w:pPr>
      <w:r>
        <w:t xml:space="preserve">Clique em</w:t>
      </w:r>
      <w:r>
        <w:t xml:space="preserve"> </w:t>
      </w:r>
      <w:r>
        <w:rPr>
          <w:bCs/>
          <w:b/>
        </w:rPr>
        <w:t xml:space="preserve">Salvar</w:t>
      </w:r>
      <w:r>
        <w:t xml:space="preserve"> </w:t>
      </w:r>
      <w:r>
        <w:t xml:space="preserve">— o cliente faz login, se registra (</w:t>
      </w:r>
      <w:r>
        <w:rPr>
          <w:rStyle w:val="VerbatimChar"/>
        </w:rPr>
        <w:t xml:space="preserve">/clients/register</w:t>
      </w:r>
      <w:r>
        <w:t xml:space="preserve">), recebe a API key e baixa a configuração de séries ativas.</w:t>
      </w:r>
    </w:p>
    <w:p>
      <w:pPr>
        <w:numPr>
          <w:ilvl w:val="0"/>
          <w:numId w:val="1003"/>
        </w:numPr>
        <w:pStyle w:val="Compact"/>
      </w:pPr>
      <w:r>
        <w:t xml:space="preserve">Com o Profit aberto, clique em</w:t>
      </w:r>
      <w:r>
        <w:t xml:space="preserve"> </w:t>
      </w:r>
      <w:r>
        <w:rPr>
          <w:bCs/>
          <w:b/>
        </w:rPr>
        <w:t xml:space="preserve">Iniciar captura</w:t>
      </w:r>
      <w:r>
        <w:t xml:space="preserve">.</w:t>
      </w:r>
    </w:p>
    <w:bookmarkStart w:id="25" w:name="modo-simulação-somente-testes"/>
    <w:p>
      <w:pPr>
        <w:pStyle w:val="Heading3"/>
      </w:pPr>
      <w:r>
        <w:t xml:space="preserve">Modo simulação (somente testes)</w:t>
      </w:r>
    </w:p>
    <w:p>
      <w:pPr>
        <w:pStyle w:val="FirstParagraph"/>
      </w:pPr>
      <w:r>
        <w:t xml:space="preserve">Para testar sem o Profit, rode com</w:t>
      </w:r>
      <w:r>
        <w:t xml:space="preserve"> </w:t>
      </w:r>
      <w:r>
        <w:rPr>
          <w:rStyle w:val="VerbatimChar"/>
        </w:rPr>
        <w:t xml:space="preserve">SIMULATE=1</w:t>
      </w:r>
      <w:r>
        <w:t xml:space="preserve"> </w:t>
      </w:r>
      <w:r>
        <w:t xml:space="preserve">(ou</w:t>
      </w:r>
      <w:r>
        <w:t xml:space="preserve"> </w:t>
      </w:r>
      <w:r>
        <w:rPr>
          <w:rStyle w:val="VerbatimChar"/>
        </w:rPr>
        <w:t xml:space="preserve">--simulate</w:t>
      </w:r>
      <w:r>
        <w:t xml:space="preserve">): o cliente gera cotações sintéticas com origem</w:t>
      </w:r>
      <w:r>
        <w:t xml:space="preserve"> </w:t>
      </w:r>
      <w:r>
        <w:rPr>
          <w:rStyle w:val="VerbatimChar"/>
          <w:bCs/>
          <w:b/>
        </w:rPr>
        <w:t xml:space="preserve">SIMULATED</w:t>
      </w:r>
      <w:r>
        <w:t xml:space="preserve"> </w:t>
      </w:r>
      <w:r>
        <w:t xml:space="preserve">— elas aparecem com o badge</w:t>
      </w:r>
      <w:r>
        <w:t xml:space="preserve"> </w:t>
      </w:r>
      <w:r>
        <w:t xml:space="preserve">“</w:t>
      </w:r>
      <w:r>
        <w:t xml:space="preserve">dados simulados de teste</w:t>
      </w:r>
      <w:r>
        <w:t xml:space="preserve">”</w:t>
      </w:r>
      <w:r>
        <w:t xml:space="preserve"> </w:t>
      </w:r>
      <w:r>
        <w:t xml:space="preserve">nas telas.</w:t>
      </w:r>
      <w:r>
        <w:t xml:space="preserve"> </w:t>
      </w:r>
      <w:r>
        <w:rPr>
          <w:bCs/>
          <w:b/>
        </w:rPr>
        <w:t xml:space="preserve">Nunca use em produção.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status-e-diagnóstico"/>
    <w:p>
      <w:pPr>
        <w:pStyle w:val="Heading2"/>
      </w:pPr>
      <w:r>
        <w:t xml:space="preserve">5. Status e diagnóstico</w:t>
      </w:r>
    </w:p>
    <w:p>
      <w:pPr>
        <w:pStyle w:val="FirstParagraph"/>
      </w:pPr>
      <w:r>
        <w:t xml:space="preserve">Na bandeja, o menu mostra: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Profit:</w:t>
      </w:r>
      <w:r>
        <w:t xml:space="preserve"> </w:t>
      </w:r>
      <w:r>
        <w:t xml:space="preserve">conectado/desconectado (indicador verde/vermelho).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Servidor:</w:t>
      </w:r>
      <w:r>
        <w:t xml:space="preserve"> </w:t>
      </w:r>
      <w:r>
        <w:t xml:space="preserve">conectado/desconectado + última atualização recebida.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Captura:</w:t>
      </w:r>
      <w:r>
        <w:t xml:space="preserve"> </w:t>
      </w:r>
      <w:r>
        <w:t xml:space="preserve">ativa/parada; quantidade de ativos e opções monitorados.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Erros recentes</w:t>
      </w:r>
      <w:r>
        <w:t xml:space="preserve"> </w:t>
      </w:r>
      <w:r>
        <w:t xml:space="preserve">de RTD e de comunicação.</w:t>
      </w:r>
    </w:p>
    <w:p>
      <w:pPr>
        <w:pStyle w:val="FirstParagraph"/>
      </w:pPr>
      <w:r>
        <w:t xml:space="preserve">A tela administrativa (web) em</w:t>
      </w:r>
      <w:r>
        <w:t xml:space="preserve"> </w:t>
      </w:r>
      <w:r>
        <w:rPr>
          <w:bCs/>
          <w:b/>
        </w:rPr>
        <w:t xml:space="preserve">Clientes/Diagnóstico</w:t>
      </w:r>
      <w:r>
        <w:t xml:space="preserve"> </w:t>
      </w:r>
      <w:r>
        <w:t xml:space="preserve">mostra os mesmos estados por cliente, com último heartbeat e tempo desde a última atualização.</w:t>
      </w:r>
    </w:p>
    <w:p>
      <w:pPr>
        <w:pStyle w:val="BodyText"/>
      </w:pPr>
      <w:r>
        <w:rPr>
          <w:bCs/>
          <w:b/>
        </w:rPr>
        <w:t xml:space="preserve">Tratamento de falhas:</w:t>
      </w:r>
      <w:r>
        <w:t xml:space="preserve"> </w:t>
      </w:r>
      <w:r>
        <w:t xml:space="preserve">Profit fechado ou RTD indisponível → status vermelho, captura pausada, heartbeat mantido; internet/servidor indisponível → dados ficam na</w:t>
      </w:r>
      <w:r>
        <w:t xml:space="preserve"> </w:t>
      </w:r>
      <w:r>
        <w:rPr>
          <w:bCs/>
          <w:b/>
        </w:rPr>
        <w:t xml:space="preserve">fila local</w:t>
      </w:r>
      <w:r>
        <w:t xml:space="preserve"> </w:t>
      </w:r>
      <w:r>
        <w:t xml:space="preserve">(SQLite) e são reenviados ao reconectar, sem duplicação; o cliente</w:t>
      </w:r>
      <w:r>
        <w:t xml:space="preserve"> </w:t>
      </w:r>
      <w:r>
        <w:rPr>
          <w:bCs/>
          <w:b/>
        </w:rPr>
        <w:t xml:space="preserve">reinicia automaticamente</w:t>
      </w:r>
      <w:r>
        <w:t xml:space="preserve"> </w:t>
      </w:r>
      <w:r>
        <w:t xml:space="preserve">workers que falharem (watchdog) e nunca trava o Profit.</w:t>
      </w:r>
    </w:p>
    <w:p>
      <w:r>
        <w:pict>
          <v:rect style="width:0;height:1.5pt" o:hralign="center" o:hrstd="t" o:hr="t"/>
        </w:pict>
      </w:r>
    </w:p>
    <w:bookmarkEnd w:id="27"/>
    <w:bookmarkStart w:id="28" w:name="verificação-rápida"/>
    <w:p>
      <w:pPr>
        <w:pStyle w:val="Heading2"/>
      </w:pPr>
      <w:r>
        <w:t xml:space="preserve">6. Verificação rápida</w:t>
      </w:r>
    </w:p>
    <w:p>
      <w:pPr>
        <w:numPr>
          <w:ilvl w:val="0"/>
          <w:numId w:val="1006"/>
        </w:numPr>
        <w:pStyle w:val="Compact"/>
      </w:pPr>
      <w:r>
        <w:t xml:space="preserve">Profit aberto mostrando cotações de BOVA11.</w:t>
      </w:r>
    </w:p>
    <w:p>
      <w:pPr>
        <w:numPr>
          <w:ilvl w:val="0"/>
          <w:numId w:val="1006"/>
        </w:numPr>
        <w:pStyle w:val="Compact"/>
      </w:pPr>
      <w:r>
        <w:t xml:space="preserve">THLProClient com captura</w:t>
      </w:r>
      <w:r>
        <w:t xml:space="preserve"> </w:t>
      </w:r>
      <w:r>
        <w:rPr>
          <w:bCs/>
          <w:b/>
        </w:rPr>
        <w:t xml:space="preserve">iniciada</w:t>
      </w:r>
      <w:r>
        <w:t xml:space="preserve"> </w:t>
      </w:r>
      <w:r>
        <w:t xml:space="preserve">e status verde.</w:t>
      </w:r>
    </w:p>
    <w:p>
      <w:pPr>
        <w:numPr>
          <w:ilvl w:val="0"/>
          <w:numId w:val="1006"/>
        </w:numPr>
        <w:pStyle w:val="Compact"/>
      </w:pPr>
      <w:r>
        <w:t xml:space="preserve">Web → tela principal → BOVA11: tabelas CALL/PUT preenchendo com vencimentos, prêmio, BID, ASK e</w:t>
      </w:r>
      <w:r>
        <w:t xml:space="preserve"> </w:t>
      </w:r>
      <w:r>
        <w:rPr>
          <w:bCs/>
          <w:b/>
        </w:rPr>
        <w:t xml:space="preserve">horários de atualização</w:t>
      </w:r>
      <w:r>
        <w:t xml:space="preserve"> </w:t>
      </w:r>
      <w:r>
        <w:t xml:space="preserve">atuais.</w:t>
      </w:r>
    </w:p>
    <w:p>
      <w:pPr>
        <w:numPr>
          <w:ilvl w:val="0"/>
          <w:numId w:val="1006"/>
        </w:numPr>
        <w:pStyle w:val="Compact"/>
      </w:pPr>
      <w:r>
        <w:t xml:space="preserve">Parar o Profit: em até ~60 s as telas marcam os dados como</w:t>
      </w:r>
      <w:r>
        <w:t xml:space="preserve"> </w:t>
      </w:r>
      <w:r>
        <w:rPr>
          <w:bCs/>
          <w:b/>
        </w:rPr>
        <w:t xml:space="preserve">atrasados</w:t>
      </w:r>
      <w:r>
        <w:t xml:space="preserve"> </w:t>
      </w:r>
      <w:r>
        <w:t xml:space="preserve">(indicador amarelo).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THLPro — manual de configuração Profit/RTD. Detalhes técnicos adicionais: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client/CONFIGURACAO_PROFIT_RTD.md</w:t>
      </w:r>
      <w:r>
        <w:rPr>
          <w:iCs/>
          <w:i/>
        </w:rPr>
        <w:t xml:space="preserve">.</w:t>
      </w:r>
    </w:p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2026-10-08T14:40:26Z</dcterms:created>
  <dcterms:modified xsi:type="dcterms:W3CDTF">2026-10-08T14:40:26Z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