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B3A5C"/>
          <w:sz w:val="56"/>
          <w:szCs w:val="56"/>
        </w:rPr>
        <w:t xml:space="preserve">White Paper Metodologico</w:t>
      </w:r>
    </w:p>
    <w:p>
      <w:pPr>
        <w:spacing w:after="360"/>
        <w:jc w:val="center"/>
      </w:pPr>
      <w:r>
        <w:rPr>
          <w:b/>
          <w:bCs/>
          <w:color w:val="2E5A88"/>
          <w:sz w:val="40"/>
          <w:szCs w:val="40"/>
        </w:rPr>
        <w:t xml:space="preserve">DPI Wizard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Strumento di supporto quantitativo al Documento sulla Politica di Investimento</w:t>
      </w:r>
    </w:p>
    <w:p>
      <w:pPr>
        <w:spacing w:after="2400"/>
        <w:jc w:val="center"/>
      </w:pPr>
      <w:r>
        <w:rPr>
          <w:sz w:val="22"/>
          <w:szCs w:val="22"/>
        </w:rPr>
        <w:t xml:space="preserve">Fondo Pensione Mario Negri · Versione 1.0 · 18 giugno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  <w:jc w:val="both"/>
      </w:pPr>
      <w:r>
        <w:rPr>
          <w:b/>
          <w:bCs/>
        </w:rPr>
        <w:t xml:space="preserve">Strumento di supporto quantitativo al Documento sulla Politica di Investimento</w:t>
      </w:r>
    </w:p>
    <w:p>
      <w:pPr>
        <w:spacing w:after="120"/>
        <w:jc w:val="both"/>
      </w:pPr>
      <w:r>
        <w:t xml:space="preserve">Fondo Pensione Mario Negri · Versione 1.0 · 18 giugno 2026</w:t>
      </w:r>
    </w:p>
    <w:p>
      <w:pPr>
        <w:pBdr>
          <w:bottom w:val="single" w:color="2E5A88" w:sz="6" w:space="1"/>
        </w:pBdr>
        <w:spacing w:after="60" w:before="60"/>
      </w:pPr>
    </w:p>
    <w:p>
      <w:pPr>
        <w:pBdr>
          <w:left w:val="single" w:color="C0392B" w:sz="18" w:space="12"/>
        </w:pBdr>
        <w:spacing w:after="120" w:before="120"/>
        <w:ind w:left="360"/>
      </w:pPr>
      <w:r>
        <w:rPr>
          <w:b/>
          <w:bCs/>
          <w:i/>
          <w:iCs/>
        </w:rPr>
        <w:t xml:space="preserve">Avvertenza sui dati e sui parametri.</w:t>
      </w:r>
      <w:r>
        <w:rPr>
          <w:i/>
          <w:iCs/>
        </w:rPr>
        <w:t xml:space="preserve"> Tutti i dati numerici di questo documento (asset class, rendimenti attesi, volatilità, correlazioni, comparti) sono </w:t>
      </w:r>
      <w:r>
        <w:rPr>
          <w:b/>
          <w:bCs/>
          <w:i/>
          <w:iCs/>
        </w:rPr>
        <w:t xml:space="preserve">dati dimostrativi</w:t>
      </w:r>
      <w:r>
        <w:rPr>
          <w:i/>
          <w:iCs/>
        </w:rPr>
        <w:t xml:space="preserve"> etichettati come tali nell'applicazione. Le scelte metodologiche contrassegnate come provvisorie — in particolare la definizione operativa di shortfall (DEC-001) e i livelli di confidenza di VaR ed Expected Shortfall (DEC-002) — sono </w:t>
      </w:r>
      <w:r>
        <w:rPr>
          <w:b/>
          <w:bCs/>
          <w:i/>
          <w:iCs/>
        </w:rPr>
        <w:t xml:space="preserve">valori tecnici configurabili</w:t>
      </w:r>
      <w:r>
        <w:rPr>
          <w:i/>
          <w:iCs/>
        </w:rPr>
        <w:t xml:space="preserve"> e </w:t>
      </w:r>
      <w:r>
        <w:rPr>
          <w:b/>
          <w:bCs/>
          <w:i/>
          <w:iCs/>
        </w:rPr>
        <w:t xml:space="preserve">devono essere validati dalla Funzione Gestione dei Rischi e dagli organi competenti del Fondo</w:t>
      </w:r>
      <w:r>
        <w:rPr>
          <w:i/>
          <w:iCs/>
        </w:rPr>
        <w:t xml:space="preserve"> prima di qualsiasi utilizzo formale nel Documento sulla Politica di Investimento (DPI). Lo strumento supporta il processo decisionale; non lo sostituisce.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1. Executive summary</w:t>
      </w:r>
    </w:p>
    <w:p>
      <w:pPr>
        <w:spacing w:after="120"/>
        <w:jc w:val="both"/>
      </w:pPr>
      <w:r>
        <w:t xml:space="preserve">DPI Wizard è un'applicazione web sviluppata in Python (Streamlit) che fornisce supporto quantitativo alla definizione, alla verifica e alla revisione dell'Asset Allocation Strategica (AAS) dei comparti del Fondo, nel quadro del Documento sulla Politica di Investimento.</w:t>
      </w:r>
    </w:p>
    <w:p>
      <w:pPr>
        <w:spacing w:after="120"/>
        <w:jc w:val="both"/>
      </w:pPr>
      <w:r>
        <w:rPr>
          <w:b/>
          <w:bCs/>
        </w:rPr>
        <w:t xml:space="preserve">Obiettivo.</w:t>
      </w:r>
      <w:r>
        <w:t xml:space="preserve"> Mettere a disposizione delle funzioni del Fondo uno strumento che, a partire da un insieme di Capital Market Assumptions (CMA) e dalla struttura dei comparti, calcoli le metriche di rendimento e rischio di un'allocazione, ne simuli l'evoluzione prospettica, ne misuri il rischio di shortfall e di coda, ne valuti la tenuta sotto scenari di stress e proponga allocazioni ottimizzate sotto vincoli configurabili.</w:t>
      </w:r>
    </w:p>
    <w:p>
      <w:pPr>
        <w:spacing w:after="120"/>
        <w:jc w:val="both"/>
      </w:pPr>
      <w:r>
        <w:rPr>
          <w:b/>
          <w:bCs/>
        </w:rPr>
        <w:t xml:space="preserve">Perimetro.</w:t>
      </w:r>
      <w:r>
        <w:t xml:space="preserve"> Lo strumento copre: metriche deterministiche (rendimento, volatilità, contributi al rischio); validazione delle matrici di correlazione; simulazione Monte Carlo con distribuzione normale e t di Student multivariata; evoluzione multi-periodo dei montanti; misure di rischio (VaR, Expected Shortfall, probabilità ed entità dello shortfall, drawdown); stress test deterministici; ottimizzazione vincolata dell'AAS con frontiera efficiente e diagnostica di infeasibilità.</w:t>
      </w:r>
    </w:p>
    <w:p>
      <w:pPr>
        <w:spacing w:after="120"/>
        <w:jc w:val="both"/>
      </w:pPr>
      <w:r>
        <w:rPr>
          <w:b/>
          <w:bCs/>
        </w:rPr>
        <w:t xml:space="preserve">Principali algoritmi.</w:t>
      </w:r>
      <w:r>
        <w:t xml:space="preserve"> Venticinque algoritmi registrati e testati (registro ALG-01… ALG-25), dalla covarianza di portafoglio alla t multivariata, dagli stress test obbligazionari via duration all'ottimizzazione SLSQP vincolata.</w:t>
      </w:r>
    </w:p>
    <w:p>
      <w:pPr>
        <w:spacing w:after="120"/>
        <w:jc w:val="both"/>
      </w:pPr>
      <w:r>
        <w:rPr>
          <w:b/>
          <w:bCs/>
        </w:rPr>
        <w:t xml:space="preserve">Modalità di utilizzo.</w:t>
      </w:r>
      <w:r>
        <w:t xml:space="preserve"> L'utente lavora attraverso pagine tematiche, configura i parametri (sempre modificabili), esegue i calcoli e ne esporta i risultati. Tutte le formule risiedono in moduli di calcolo testati; le pagine si occupano solo di interfaccia.</w:t>
      </w:r>
    </w:p>
    <w:p>
      <w:pPr>
        <w:spacing w:after="120"/>
        <w:jc w:val="both"/>
      </w:pPr>
      <w:r>
        <w:rPr>
          <w:b/>
          <w:bCs/>
        </w:rPr>
        <w:t xml:space="preserve">Stato di validazione.</w:t>
      </w:r>
      <w:r>
        <w:t xml:space="preserve"> La base di codice è coperta da 114 test automatici, tutti superati. Le validazioni numeriche indipendenti confermano la correttezza dei motori (ad esempio la minima varianza riproduce la soluzione analitica nota; la t multivariata riproduce la covarianza target). Il dettaglio è nel rapporto di validazione (VALIDATION_REPORT.md).</w:t>
      </w:r>
    </w:p>
    <w:p>
      <w:pPr>
        <w:spacing w:after="120"/>
        <w:jc w:val="both"/>
      </w:pPr>
      <w:r>
        <w:rPr>
          <w:b/>
          <w:bCs/>
        </w:rPr>
        <w:t xml:space="preserve">Limiti.</w:t>
      </w:r>
      <w:r>
        <w:t xml:space="preserve"> I risultati dipendono dalle CMA in ingresso (rischio di stima); la normale sottostima le code; l'ottimizzazione media-varianza è sensibile agli input; gli stress test sono deterministici e dipendono dagli scenari scelti. Questi limiti sono trattati nella sezione 21. I dati dimostrativi e i parametri provvisori vanno validati prima dell'uso reale.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2. Contesto previdenziale</w:t>
      </w:r>
    </w:p>
    <w:p>
      <w:pPr>
        <w:spacing w:after="120"/>
        <w:jc w:val="both"/>
      </w:pPr>
      <w:r>
        <w:rPr>
          <w:b/>
          <w:bCs/>
        </w:rPr>
        <w:t xml:space="preserve">Ruolo dell'Asset Allocation Strategica.</w:t>
      </w:r>
      <w:r>
        <w:t xml:space="preserve"> Per un fondo pensione l'AAS è la principale leva di rischio-rendimento di lungo periodo. Definisce la ripartizione tra le grandi classi di attivo e quindi, in larga misura, il profilo di rischio e il rendimento atteso dei comparti. La sua definizione e revisione è un atto di governance che il DPI deve motivare e documentare.</w:t>
      </w:r>
    </w:p>
    <w:p>
      <w:pPr>
        <w:spacing w:after="120"/>
        <w:jc w:val="both"/>
      </w:pPr>
      <w:r>
        <w:rPr>
          <w:b/>
          <w:bCs/>
        </w:rPr>
        <w:t xml:space="preserve">Bisogni previdenziali e orizzonti.</w:t>
      </w:r>
      <w:r>
        <w:t xml:space="preserve"> L'investitore previdenziale ha orizzonti lunghi e flussi prevedibili (contributi in accumulo, prestazioni in erogazione). A differenza di un portafoglio retail orientato al breve termine, ciò che conta non è la volatilità di un singolo anno ma il </w:t>
      </w:r>
      <w:r>
        <w:rPr>
          <w:b/>
          <w:bCs/>
        </w:rPr>
        <w:t xml:space="preserve">potere d'acquisto del montante</w:t>
      </w:r>
      <w:r>
        <w:t xml:space="preserve"> alla fine dell'orizzonte e la probabilità di mancare l'obiettivo previdenziale. Per questo lo strumento ragiona in termini reali (al netto dell'inflazione), su orizzonti pluriennali, e misura lo shortfall rispetto a un obiettivo, non solo la dispersione.</w:t>
      </w:r>
    </w:p>
    <w:p>
      <w:pPr>
        <w:spacing w:after="120"/>
        <w:jc w:val="both"/>
      </w:pPr>
      <w:r>
        <w:rPr>
          <w:b/>
          <w:bCs/>
        </w:rPr>
        <w:t xml:space="preserve">Liquidità e illiquidità.</w:t>
      </w:r>
      <w:r>
        <w:t xml:space="preserve"> Gli investimenti illiquidi (private markets, real assets) possono offrire premi attesi più elevati ma comportano vincoli di liquidabilità e incertezza di valorizzazione. Lo strumento tratta esplicitamente la quota illiquida come grandezza vincolabile e ne mostra l'effetto sotto stress.</w:t>
      </w:r>
    </w:p>
    <w:p>
      <w:pPr>
        <w:spacing w:after="120"/>
        <w:jc w:val="both"/>
      </w:pPr>
      <w:r>
        <w:rPr>
          <w:b/>
          <w:bCs/>
        </w:rPr>
        <w:t xml:space="preserve">Relazione con il DPI e con le funzioni di controllo.</w:t>
      </w:r>
      <w:r>
        <w:t xml:space="preserve"> Lo strumento produce evidenze quantitative (metriche, simulazioni, stress, proposte ottimizzate) che alimentano il processo di redazione e revisione del DPI. Le decisioni restano in capo agli organi del Fondo; la Funzione Gestione dei Rischi valida i parametri e interpreta gli output. Lo strumento rende il processo più tracciabile e ripetibile, non automatico.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3. Architettura della soluzione</w:t>
      </w:r>
    </w:p>
    <w:p>
      <w:pPr>
        <w:spacing w:after="120"/>
        <w:jc w:val="both"/>
      </w:pPr>
      <w:r>
        <w:rPr>
          <w:b/>
          <w:bCs/>
        </w:rPr>
        <w:t xml:space="preserve">Architettura funzionale.</w:t>
      </w:r>
      <w:r>
        <w:t xml:space="preserve"> L'applicazione è organizzata in pagine tematiche che accompagnano il flusso di lavoro: definizione dei comparti, inserimento delle CMA, gestione della matrice di correlazione, laboratorio di asset allocation, simulazioni, confronto tra proposte, controllo dei vincoli, reportistica, simulazione CMA con stress test, ottimizzazione dell'AAS.</w:t>
      </w:r>
    </w:p>
    <w:p>
      <w:pPr>
        <w:spacing w:after="120"/>
        <w:jc w:val="both"/>
      </w:pPr>
      <w:r>
        <w:rPr>
          <w:b/>
          <w:bCs/>
        </w:rPr>
        <w:t xml:space="preserve">Architettura tecnica.</w:t>
      </w:r>
      <w:r>
        <w:t xml:space="preserve"> Il principio inviolabile è la </w:t>
      </w:r>
      <w:r>
        <w:rPr>
          <w:b/>
          <w:bCs/>
        </w:rPr>
        <w:t xml:space="preserve">separazione tra motori quantitativi e interfaccia</w:t>
      </w:r>
      <w:r>
        <w:t xml:space="preserve">: nessuna formula finanziaria rilevante è implementata nelle pagine Streamlit. Le pagine si occupano di input, validazione dell'input utente, chiamata ai servizi, visualizzazione, salvataggio ed esportazione. I calcoli risiedono in moduli dedicati: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src/domain/</w:t>
      </w:r>
      <w:r>
        <w:t xml:space="preserve"> — modelli di dominio (Pydantic): asset class, CMA, comparto, proposta,</w:t>
      </w:r>
    </w:p>
    <w:p>
      <w:pPr>
        <w:spacing w:after="120"/>
        <w:jc w:val="both"/>
      </w:pPr>
      <w:r>
        <w:t xml:space="preserve">  configurazioni.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src/calculations/</w:t>
      </w:r>
      <w:r>
        <w:t xml:space="preserve"> — metriche deterministiche e metriche di rischio.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src/data/</w:t>
      </w:r>
      <w:r>
        <w:t xml:space="preserve"> — validazione (PSD, nearest correlation), dati demo, import/export Excel.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src/simulations/</w:t>
      </w:r>
      <w:r>
        <w:t xml:space="preserve"> — distribuzioni, Monte Carlo, motore dei percorsi.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src/stress_testing/</w:t>
      </w:r>
      <w:r>
        <w:t xml:space="preserve"> — scenari, motore di stress, shock obbligazionari.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src/optimization/</w:t>
      </w:r>
      <w:r>
        <w:t xml:space="preserve"> — funzioni obiettivo, vincoli, solver, frontiera, diagnostica.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src/services/</w:t>
      </w:r>
      <w:r>
        <w:t xml:space="preserve"> — facade che orchestrano i motori per le pagine (portfolio,</w:t>
      </w:r>
    </w:p>
    <w:p>
      <w:pPr>
        <w:spacing w:after="120"/>
        <w:jc w:val="both"/>
      </w:pPr>
      <w:r>
        <w:t xml:space="preserve">  simulation, optimization).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src/reporting/</w:t>
      </w:r>
      <w:r>
        <w:t xml:space="preserve"> — generazione del report Excel.</w:t>
      </w:r>
    </w:p>
    <w:p>
      <w:pPr>
        <w:spacing w:after="120"/>
        <w:jc w:val="both"/>
      </w:pPr>
      <w:r>
        <w:rPr>
          <w:b/>
          <w:bCs/>
        </w:rPr>
        <w:t xml:space="preserve">Modello dati.</w:t>
      </w:r>
      <w:r>
        <w:t xml:space="preserve"> I dati sono validati alla costruzione tramite Pydantic: i pesi delle proposte sommano a uno entro tolleranza, le matrici di correlazione sono simmetriche con diagonale unitaria e valori in [-1, 1], le asset class hanno parametri coerenti. La coerenza tra una proposta e il set CMA (stesse asset class) è verificata prima di ogni calcolo.</w:t>
      </w:r>
    </w:p>
    <w:p>
      <w:pPr>
        <w:spacing w:after="120"/>
        <w:jc w:val="both"/>
      </w:pPr>
      <w:r>
        <w:rPr>
          <w:b/>
          <w:bCs/>
        </w:rPr>
        <w:t xml:space="preserve">Gestione degli scenari e stato.</w:t>
      </w:r>
      <w:r>
        <w:t xml:space="preserve"> Lo stato condiviso tra le pagine (</w:t>
      </w:r>
      <w:r>
        <w:rPr>
          <w:rFonts w:ascii="Consolas" w:cs="Consolas" w:eastAsia="Consolas" w:hAnsi="Consolas"/>
        </w:rPr>
        <w:t xml:space="preserve">pages/_state.py</w:t>
      </w:r>
      <w:r>
        <w:t xml:space="preserve">) mantiene CMA, comparto e proposte della sessione. Gli scenari di stress sono definiti come oggetti modificabili e versionabili.</w:t>
      </w:r>
    </w:p>
    <w:p>
      <w:pPr>
        <w:spacing w:after="120"/>
        <w:jc w:val="both"/>
      </w:pPr>
      <w:r>
        <w:rPr>
          <w:b/>
          <w:bCs/>
        </w:rPr>
        <w:t xml:space="preserve">Import/export, logging, versionamento.</w:t>
      </w:r>
      <w:r>
        <w:t xml:space="preserve"> Le CMA si importano ed esportano in Excel; i risultati si esportano in report Excel. Il versionamento del codice avviene su Git con tag per le versioni stabili (DEC-010). La tracciabilità delle elaborazioni è descritta in appendice.</w:t>
      </w:r>
    </w:p>
    <w:p>
      <w:pPr>
        <w:spacing w:after="120"/>
        <w:jc w:val="both"/>
      </w:pPr>
      <w:r>
        <w:rPr>
          <w:b/>
          <w:bCs/>
        </w:rPr>
        <w:t xml:space="preserve">Compatibilità di deployment.</w:t>
      </w:r>
      <w:r>
        <w:t xml:space="preserve"> Lo stack è interamente PyData standard (numpy, scipy, pandas, plotly, openpyxl, pydantic, streamlit); non vi sono dipendenze native aggiuntive né solver esterni. L'applicazione è verificata su Streamlit Community Cloud (Python 3.12).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4. Capital Market Assumptions</w:t>
      </w:r>
    </w:p>
    <w:p>
      <w:pPr>
        <w:spacing w:after="120"/>
        <w:jc w:val="both"/>
      </w:pPr>
      <w:r>
        <w:rPr>
          <w:b/>
          <w:bCs/>
        </w:rPr>
        <w:t xml:space="preserve">Definizione e finalità.</w:t>
      </w:r>
      <w:r>
        <w:t xml:space="preserve"> Le Capital Market Assumptions sono le ipotesi prospettiche sul comportamento delle asset class: rendimento atteso, volatilità, correlazioni, costi, oltre a inflazione e orizzonte. Costituiscono l'input primario di tutte le elaborazioni: le metriche, le simulazioni e l'ottimizzazione sono </w:t>
      </w:r>
      <w:r>
        <w:rPr>
          <w:b/>
          <w:bCs/>
        </w:rPr>
        <w:t xml:space="preserve">condizionate</w:t>
      </w:r>
      <w:r>
        <w:t xml:space="preserve"> alle CMA.</w:t>
      </w:r>
    </w:p>
    <w:p>
      <w:pPr>
        <w:spacing w:after="120"/>
        <w:jc w:val="both"/>
      </w:pPr>
      <w:r>
        <w:rPr>
          <w:b/>
          <w:bCs/>
        </w:rPr>
        <w:t xml:space="preserve">Componenti.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Rendimento atteso</w:t>
      </w:r>
      <w:r>
        <w:t xml:space="preserve"> (μ): rendimento medio annuo atteso, in termini nominali, per ciascuna</w:t>
      </w:r>
    </w:p>
    <w:p>
      <w:pPr>
        <w:spacing w:after="120"/>
        <w:jc w:val="both"/>
      </w:pPr>
      <w:r>
        <w:t xml:space="preserve">  asset class.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Volatilità</w:t>
      </w:r>
      <w:r>
        <w:t xml:space="preserve"> (σ): deviazione standard annua dei rendimenti.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Correlazione</w:t>
      </w:r>
      <w:r>
        <w:t xml:space="preserve"> (C): matrice delle correlazioni tra asset class, simmetrica, con</w:t>
      </w:r>
    </w:p>
    <w:p>
      <w:pPr>
        <w:spacing w:after="120"/>
        <w:jc w:val="both"/>
      </w:pPr>
      <w:r>
        <w:t xml:space="preserve">  diagonale unitaria.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Covarianza</w:t>
      </w:r>
      <w:r>
        <w:t xml:space="preserve"> (Σ): ottenuta da volatilità e correlazioni (sezione 7).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Costi</w:t>
      </w:r>
      <w:r>
        <w:t xml:space="preserve">: TER annuo per asset class, sottratto al rendimento.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Inflazione</w:t>
      </w:r>
      <w:r>
        <w:t xml:space="preserve"> (π): deterministica, editabile, usata per il passaggio al reale.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Orizzonte</w:t>
      </w:r>
      <w:r>
        <w:t xml:space="preserve">: durata della proiezione, coerente con il comparto.</w:t>
      </w:r>
    </w:p>
    <w:p>
      <w:pPr>
        <w:spacing w:after="120"/>
        <w:jc w:val="both"/>
      </w:pPr>
      <w:r>
        <w:rPr>
          <w:b/>
          <w:bCs/>
        </w:rPr>
        <w:t xml:space="preserve">Fonti e versionamento.</w:t>
      </w:r>
      <w:r>
        <w:t xml:space="preserve"> Nello strumento le CMA sono fornite come dati dimostrativi etichettati e modificabili; nell'uso reale vanno sostituite con le CMA ufficiali del Fondo, soggette a versionamento e validazione. Le CMA si importano da Excel.</w:t>
      </w:r>
    </w:p>
    <w:p>
      <w:pPr>
        <w:spacing w:after="120"/>
        <w:jc w:val="both"/>
      </w:pPr>
      <w:r>
        <w:rPr>
          <w:b/>
          <w:bCs/>
        </w:rPr>
        <w:t xml:space="preserve">Rischio di stima e sensitivity.</w:t>
      </w:r>
      <w:r>
        <w:t xml:space="preserve"> Le CMA sono stime, non certezze: il rendimento atteso in particolare è difficile da stimare e ha forte impatto sull'ottimizzazione. È quindi metodologicamente importante distinguere due fonti di incertezza:</w:t>
      </w:r>
    </w:p>
    <w:p>
      <w:pPr>
        <w:pStyle w:val="ListParagraph"/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variabilità dei rendimenti futuri</w:t>
      </w:r>
      <w:r>
        <w:t xml:space="preserve"> attorno alle CMA (catturata dal Monte Carlo);</w:t>
      </w:r>
    </w:p>
    <w:p>
      <w:pPr>
        <w:pStyle w:val="ListParagraph"/>
        <w:numPr>
          <w:ilvl w:val="0"/>
          <w:numId w:val="2"/>
        </w:numPr>
      </w:pPr>
      <w:r>
        <w:t xml:space="preserve">l'</w:t>
      </w:r>
      <w:r>
        <w:rPr>
          <w:b/>
          <w:bCs/>
        </w:rPr>
        <w:t xml:space="preserve">incertezza nella stima delle CMA</w:t>
      </w:r>
      <w:r>
        <w:t xml:space="preserve"> stesse (analisi di sensitività, che modifica gli</w:t>
      </w:r>
    </w:p>
    <w:p>
      <w:pPr>
        <w:spacing w:after="120"/>
        <w:jc w:val="both"/>
      </w:pPr>
      <w:r>
        <w:t xml:space="preserve">  input e osserva l'effetto sugli output).</w:t>
      </w:r>
    </w:p>
    <w:p>
      <w:pPr>
        <w:spacing w:after="120"/>
        <w:jc w:val="both"/>
      </w:pPr>
      <w:r>
        <w:t xml:space="preserve">Confondere le due porterebbe a sottostimare il rischio complessivo. L'applicazione tiene distinte le due nozioni: la simulazione condizionata alle CMA e l'analisi di sensitività sono concettualmente separate.</w:t>
      </w:r>
    </w:p>
    <w:p>
      <w:pPr>
        <w:spacing w:after="120"/>
        <w:jc w:val="both"/>
      </w:pPr>
      <w:r>
        <w:rPr>
          <w:b/>
          <w:bCs/>
        </w:rPr>
        <w:t xml:space="preserve">Differenza tra CMA e dati storici.</w:t>
      </w:r>
      <w:r>
        <w:t xml:space="preserve"> Le CMA sono ipotesi forward-looking; i dati storici sono realizzazioni passate. Le CMA possono incorporare giudizi e correzioni rispetto alla storia (regimi, valutazioni correnti). Lo strumento usa le CMA come input, non stima i parametri dalla serie storica.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5. Rendimento di portafoglio</w:t>
      </w:r>
    </w:p>
    <w:p>
      <w:pPr>
        <w:spacing w:after="120"/>
        <w:jc w:val="both"/>
      </w:pPr>
      <w:r>
        <w:rPr>
          <w:b/>
          <w:bCs/>
        </w:rPr>
        <w:t xml:space="preserve">Formula.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E(R_p) = w^(ᵀ)μ</w:t>
      </w:r>
    </w:p>
    <w:p>
      <w:pPr>
        <w:spacing w:after="120"/>
        <w:jc w:val="both"/>
      </w:pPr>
      <w:r>
        <w:t xml:space="preserve">dove </w:t>
      </w:r>
      <w:r>
        <w:rPr>
          <w:b/>
          <w:bCs/>
        </w:rPr>
        <w:t xml:space="preserve">w</w:t>
      </w:r>
      <w:r>
        <w:t xml:space="preserve"> è il vettore dei pesi (che somma a 1) e </w:t>
      </w:r>
      <w:r>
        <w:rPr>
          <w:b/>
          <w:bCs/>
        </w:rPr>
        <w:t xml:space="preserve">μ</w:t>
      </w:r>
      <w:r>
        <w:t xml:space="preserve"> il vettore dei rendimenti attesi delle asset class.</w:t>
      </w:r>
    </w:p>
    <w:p>
      <w:pPr>
        <w:spacing w:after="120"/>
        <w:jc w:val="both"/>
      </w:pPr>
      <w:r>
        <w:rPr>
          <w:b/>
          <w:bCs/>
        </w:rPr>
        <w:t xml:space="preserve">Simboli e unità.</w:t>
      </w:r>
      <w:r>
        <w:t xml:space="preserve"> I pesi sono adimensionali e sommano a uno; i rendimenti sono decimali annui. Il risultato è un rendimento atteso decimale annuo.</w:t>
      </w:r>
    </w:p>
    <w:p>
      <w:pPr>
        <w:spacing w:after="120"/>
        <w:jc w:val="both"/>
      </w:pPr>
      <w:r>
        <w:rPr>
          <w:b/>
          <w:bCs/>
        </w:rPr>
        <w:t xml:space="preserve">Varianti.</w:t>
      </w:r>
      <w:r>
        <w:t xml:space="preserve"> Lo strumento distingue: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lordo</w:t>
      </w:r>
      <w:r>
        <w:t xml:space="preserve"> vs </w:t>
      </w:r>
      <w:r>
        <w:rPr>
          <w:i/>
          <w:iCs/>
        </w:rPr>
        <w:t xml:space="preserve">netto dei costi</w:t>
      </w:r>
      <w:r>
        <w:t xml:space="preserve">: il rendimento netto sottrae il TER, $R_{\text{netto}} =</w:t>
      </w:r>
    </w:p>
    <w:p>
      <w:pPr>
        <w:spacing w:after="120"/>
        <w:jc w:val="both"/>
      </w:pPr>
      <w:r>
        <w:t xml:space="preserve">  \mathbf{w}^{\top}(\boldsymbol{\mu} - \mathbf{c})$;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nominale</w:t>
      </w:r>
      <w:r>
        <w:t xml:space="preserve"> vs </w:t>
      </w:r>
      <w:r>
        <w:rPr>
          <w:i/>
          <w:iCs/>
        </w:rPr>
        <w:t xml:space="preserve">reale</w:t>
      </w:r>
      <w:r>
        <w:t xml:space="preserve">: il reale deflaziona per l'inflazione (sezione 6);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aritmetico</w:t>
      </w:r>
      <w:r>
        <w:t xml:space="preserve"> vs </w:t>
      </w:r>
      <w:r>
        <w:rPr>
          <w:i/>
          <w:iCs/>
        </w:rPr>
        <w:t xml:space="preserve">geometrico</w:t>
      </w:r>
      <w:r>
        <w:t xml:space="preserve">: l'aritmetico è la media; il geometrico tiene conto del</w:t>
      </w:r>
    </w:p>
    <w:p>
      <w:pPr>
        <w:spacing w:after="120"/>
        <w:jc w:val="both"/>
      </w:pPr>
      <w:r>
        <w:t xml:space="preserve">  drag di volatilità nel lungo periodo (sezione 9 e 10).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Funzione </w:t>
      </w:r>
      <w:r>
        <w:rPr>
          <w:rFonts w:ascii="Consolas" w:cs="Consolas" w:eastAsia="Consolas" w:hAnsi="Consolas"/>
        </w:rPr>
        <w:t xml:space="preserve">rendimento_atteso</w:t>
      </w:r>
      <w:r>
        <w:t xml:space="preserve"> in </w:t>
      </w:r>
      <w:r>
        <w:rPr>
          <w:rFonts w:ascii="Consolas" w:cs="Consolas" w:eastAsia="Consolas" w:hAnsi="Consolas"/>
        </w:rPr>
        <w:t xml:space="preserve">calculations/metrics.py</w:t>
      </w:r>
      <w:r>
        <w:t xml:space="preserve"> (ALG-01); rendimento netto costi in </w:t>
      </w:r>
      <w:r>
        <w:rPr>
          <w:rFonts w:ascii="Consolas" w:cs="Consolas" w:eastAsia="Consolas" w:hAnsi="Consolas"/>
        </w:rPr>
        <w:t xml:space="preserve">rendimento_netto_costi</w:t>
      </w:r>
      <w:r>
        <w:t xml:space="preserve"> (ALG-05). Test in </w:t>
      </w:r>
      <w:r>
        <w:rPr>
          <w:rFonts w:ascii="Consolas" w:cs="Consolas" w:eastAsia="Consolas" w:hAnsi="Consolas"/>
        </w:rPr>
        <w:t xml:space="preserve">tests/test_calculations.py</w:t>
      </w:r>
      <w:r>
        <w:t xml:space="preserve"> con valori calcolati indipendentemente a mano.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6. Rendimento reale</w:t>
      </w:r>
    </w:p>
    <w:p>
      <w:pPr>
        <w:spacing w:after="120"/>
        <w:jc w:val="both"/>
      </w:pPr>
      <w:r>
        <w:rPr>
          <w:b/>
          <w:bCs/>
        </w:rPr>
        <w:t xml:space="preserve">Formula (Fisher esatta).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R_(reale) = frac1 + R_(nominale)1 + π - 1</w:t>
      </w:r>
    </w:p>
    <w:p>
      <w:pPr>
        <w:spacing w:after="120"/>
        <w:jc w:val="both"/>
      </w:pPr>
      <w:r>
        <w:rPr>
          <w:b/>
          <w:bCs/>
        </w:rPr>
        <w:t xml:space="preserve">Derivazione e interpretazione.</w:t>
      </w:r>
      <w:r>
        <w:t xml:space="preserve"> Il rendimento reale misura la crescita del </w:t>
      </w:r>
      <w:r>
        <w:rPr>
          <w:b/>
          <w:bCs/>
        </w:rPr>
        <w:t xml:space="preserve">potere d'acquisto</w:t>
      </w:r>
      <w:r>
        <w:t xml:space="preserve">. Si ottiene rapportando il montante nominale al livello dei prezzi: un euro investito diventa </w:t>
      </w:r>
      <w:r>
        <w:rPr>
          <w:i/>
          <w:iCs/>
        </w:rPr>
        <w:t xml:space="preserve">(1+R_(nom))</w:t>
      </w:r>
      <w:r>
        <w:t xml:space="preserve"> nominale, ma in termini di beni vale </w:t>
      </w:r>
      <w:r>
        <w:rPr>
          <w:i/>
          <w:iCs/>
        </w:rPr>
        <w:t xml:space="preserve">(1+R_(nom))/(1+π)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Confronto con la sottrazione semplice.</w:t>
      </w:r>
      <w:r>
        <w:t xml:space="preserve"> L'approssimazione </w:t>
      </w:r>
      <w:r>
        <w:rPr>
          <w:i/>
          <w:iCs/>
        </w:rPr>
        <w:t xml:space="preserve">R_(reale) ≈ R_(nom) - π</w:t>
      </w:r>
      <w:r>
        <w:t xml:space="preserve"> è accettabile per valori piccoli ma introduce un errore crescente. Lo strumento usa la formula esatta (DEC-004). Esempio: con </w:t>
      </w:r>
      <w:r>
        <w:rPr>
          <w:i/>
          <w:iCs/>
        </w:rPr>
        <w:t xml:space="preserve">R_(nom) = 5,38%</w:t>
      </w:r>
      <w:r>
        <w:t xml:space="preserve"> e </w:t>
      </w:r>
      <w:r>
        <w:rPr>
          <w:i/>
          <w:iCs/>
        </w:rPr>
        <w:t xml:space="preserve">π = 2%</w:t>
      </w:r>
      <w:r>
        <w:t xml:space="preserve">, la formula esatta dà </w:t>
      </w:r>
      <w:r>
        <w:rPr>
          <w:i/>
          <w:iCs/>
        </w:rPr>
        <w:t xml:space="preserve">2,92%</w:t>
      </w:r>
      <w:r>
        <w:t xml:space="preserve">, la sottrazione </w:t>
      </w:r>
      <w:r>
        <w:rPr>
          <w:i/>
          <w:iCs/>
        </w:rPr>
        <w:t xml:space="preserve">3,38%</w:t>
      </w:r>
      <w:r>
        <w:t xml:space="preserve">: una differenza non trascurabile su orizzonti lunghi.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Funzione </w:t>
      </w:r>
      <w:r>
        <w:rPr>
          <w:rFonts w:ascii="Consolas" w:cs="Consolas" w:eastAsia="Consolas" w:hAnsi="Consolas"/>
        </w:rPr>
        <w:t xml:space="preserve">rendimento_reale</w:t>
      </w:r>
      <w:r>
        <w:t xml:space="preserve"> in </w:t>
      </w:r>
      <w:r>
        <w:rPr>
          <w:rFonts w:ascii="Consolas" w:cs="Consolas" w:eastAsia="Consolas" w:hAnsi="Consolas"/>
        </w:rPr>
        <w:t xml:space="preserve">calculations/metrics.py</w:t>
      </w:r>
      <w:r>
        <w:t xml:space="preserve"> (ALG-04), con vincolo </w:t>
      </w:r>
      <w:r>
        <w:rPr>
          <w:i/>
          <w:iCs/>
        </w:rPr>
        <w:t xml:space="preserve">π &gt; -1</w:t>
      </w:r>
      <w:r>
        <w:t xml:space="preserve">. Test dedicato in </w:t>
      </w:r>
      <w:r>
        <w:rPr>
          <w:rFonts w:ascii="Consolas" w:cs="Consolas" w:eastAsia="Consolas" w:hAnsi="Consolas"/>
        </w:rPr>
        <w:t xml:space="preserve">tests/test_calculations.py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7. Rischio di portafoglio</w:t>
      </w:r>
    </w:p>
    <w:p>
      <w:pPr>
        <w:spacing w:after="120"/>
        <w:jc w:val="both"/>
      </w:pPr>
      <w:r>
        <w:rPr>
          <w:b/>
          <w:bCs/>
        </w:rPr>
        <w:t xml:space="preserve">Formule.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σ_p^2 = w^(ᵀ)Σw, σ_p = √(w^(ᵀ)Σw)</w:t>
      </w:r>
    </w:p>
    <w:p>
      <w:pPr>
        <w:spacing w:after="120"/>
        <w:jc w:val="both"/>
      </w:pPr>
      <w:r>
        <w:rPr>
          <w:b/>
          <w:bCs/>
        </w:rPr>
        <w:t xml:space="preserve">Costruzione della covarianza.</w:t>
      </w:r>
      <w:r>
        <w:t xml:space="preserve"> La matrice di covarianza si ottiene da volatilità e correlazioni: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Σ = D_(σ) C D_(σ)</w:t>
      </w:r>
    </w:p>
    <w:p>
      <w:pPr>
        <w:spacing w:after="120"/>
        <w:jc w:val="both"/>
      </w:pPr>
      <w:r>
        <w:t xml:space="preserve">dove </w:t>
      </w:r>
      <w:r>
        <w:rPr>
          <w:i/>
          <w:iCs/>
        </w:rPr>
        <w:t xml:space="preserve">D_(σ)</w:t>
      </w:r>
      <w:r>
        <w:t xml:space="preserve"> è la matrice diagonale delle volatilità e </w:t>
      </w:r>
      <w:r>
        <w:rPr>
          <w:i/>
          <w:iCs/>
        </w:rPr>
        <w:t xml:space="preserve">C</w:t>
      </w:r>
      <w:r>
        <w:t xml:space="preserve"> la matrice di correlazione.</w:t>
      </w:r>
    </w:p>
    <w:p>
      <w:pPr>
        <w:spacing w:after="120"/>
        <w:jc w:val="both"/>
      </w:pPr>
      <w:r>
        <w:rPr>
          <w:b/>
          <w:bCs/>
        </w:rPr>
        <w:t xml:space="preserve">Diversificazione.</w:t>
      </w:r>
      <w:r>
        <w:t xml:space="preserve"> Poiché le correlazioni sono in generale inferiori a uno, la volatilità di portafoglio è inferiore alla media pesata delle volatilità: è l'effetto di diversificazione. La covarianza ne è la rappresentazione formale.</w:t>
      </w:r>
    </w:p>
    <w:p>
      <w:pPr>
        <w:spacing w:after="120"/>
        <w:jc w:val="both"/>
      </w:pPr>
      <w:r>
        <w:rPr>
          <w:b/>
          <w:bCs/>
        </w:rPr>
        <w:t xml:space="preserve">Annualizzazione e limiti.</w:t>
      </w:r>
      <w:r>
        <w:t xml:space="preserve"> Le grandezze sono annue. La volatilità è una misura simmetrica: tratta allo stesso modo gli scostamenti positivi e negativi e non cattura la forma delle code. Per questo lo strumento affianca misure di rischio di coda (VaR, ES) e di shortfall, e una distribuzione t a code spesse.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Funzioni </w:t>
      </w:r>
      <w:r>
        <w:rPr>
          <w:rFonts w:ascii="Consolas" w:cs="Consolas" w:eastAsia="Consolas" w:hAnsi="Consolas"/>
        </w:rPr>
        <w:t xml:space="preserve">matrice_covarianza</w:t>
      </w:r>
      <w:r>
        <w:t xml:space="preserve"> (ALG-03) e </w:t>
      </w:r>
      <w:r>
        <w:rPr>
          <w:rFonts w:ascii="Consolas" w:cs="Consolas" w:eastAsia="Consolas" w:hAnsi="Consolas"/>
        </w:rPr>
        <w:t xml:space="preserve">volatilita</w:t>
      </w:r>
      <w:r>
        <w:t xml:space="preserve"> (ALG-02) in </w:t>
      </w:r>
      <w:r>
        <w:rPr>
          <w:rFonts w:ascii="Consolas" w:cs="Consolas" w:eastAsia="Consolas" w:hAnsi="Consolas"/>
        </w:rPr>
        <w:t xml:space="preserve">calculations/metrics.py</w:t>
      </w:r>
      <w:r>
        <w:t xml:space="preserve">. Test con matrici note in </w:t>
      </w:r>
      <w:r>
        <w:rPr>
          <w:rFonts w:ascii="Consolas" w:cs="Consolas" w:eastAsia="Consolas" w:hAnsi="Consolas"/>
        </w:rPr>
        <w:t xml:space="preserve">tests/test_calculations.py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8. Contributi al rischio</w:t>
      </w:r>
    </w:p>
    <w:p>
      <w:pPr>
        <w:spacing w:after="120"/>
        <w:jc w:val="both"/>
      </w:pPr>
      <w:r>
        <w:rPr>
          <w:b/>
          <w:bCs/>
        </w:rPr>
        <w:t xml:space="preserve">Formule.</w:t>
      </w:r>
      <w:r>
        <w:t xml:space="preserve"> Il contributo marginale, assoluto e percentuale di ciascuna asset class al rischio di portafoglio: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MCR_i = ((Σw)_i)/(σ_p), CR_i = w_i MCR_i, PCR_i = (CR_i)/(σ_p)</w:t>
      </w:r>
    </w:p>
    <w:p>
      <w:pPr>
        <w:spacing w:after="120"/>
        <w:jc w:val="both"/>
      </w:pPr>
      <w:r>
        <w:rPr>
          <w:b/>
          <w:bCs/>
        </w:rPr>
        <w:t xml:space="preserve">Interpretazione.</w:t>
      </w:r>
      <w:r>
        <w:t xml:space="preserve"> Il contributo percentuale </w:t>
      </w:r>
      <w:r>
        <w:rPr>
          <w:i/>
          <w:iCs/>
        </w:rPr>
        <w:t xml:space="preserve">PCR_i</w:t>
      </w:r>
      <w:r>
        <w:t xml:space="preserve"> scompone il rischio totale: la somma dei </w:t>
      </w:r>
      <w:r>
        <w:rPr>
          <w:i/>
          <w:iCs/>
        </w:rPr>
        <w:t xml:space="preserve">CR_i</w:t>
      </w:r>
      <w:r>
        <w:t xml:space="preserve"> è pari a </w:t>
      </w:r>
      <w:r>
        <w:rPr>
          <w:i/>
          <w:iCs/>
        </w:rPr>
        <w:t xml:space="preserve">σ_p</w:t>
      </w:r>
      <w:r>
        <w:t xml:space="preserve">, e la somma dei </w:t>
      </w:r>
      <w:r>
        <w:rPr>
          <w:i/>
          <w:iCs/>
        </w:rPr>
        <w:t xml:space="preserve">PCR_i</w:t>
      </w:r>
      <w:r>
        <w:t xml:space="preserve"> è 1. Permette di vedere quali asset class concentrano il rischio, informazione spesso più utile del solo peso: una classe con peso modesto ma alta volatilità e correlazione può contribuire al rischio molto più di quanto il suo peso suggerisca.</w:t>
      </w:r>
    </w:p>
    <w:p>
      <w:pPr>
        <w:spacing w:after="120"/>
        <w:jc w:val="both"/>
      </w:pPr>
      <w:r>
        <w:rPr>
          <w:b/>
          <w:bCs/>
        </w:rPr>
        <w:t xml:space="preserve">Uso previdenziale.</w:t>
      </w:r>
      <w:r>
        <w:t xml:space="preserve"> Nei comparti azionari il contributo al rischio è dominato dalle componenti equity anche quando il loro peso non è maggioritario; renderlo esplicito aiuta a motivare le scelte di de-risking nel DPI.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Funzione </w:t>
      </w:r>
      <w:r>
        <w:rPr>
          <w:rFonts w:ascii="Consolas" w:cs="Consolas" w:eastAsia="Consolas" w:hAnsi="Consolas"/>
        </w:rPr>
        <w:t xml:space="preserve">risk_contribution</w:t>
      </w:r>
      <w:r>
        <w:t xml:space="preserve"> in </w:t>
      </w:r>
      <w:r>
        <w:rPr>
          <w:rFonts w:ascii="Consolas" w:cs="Consolas" w:eastAsia="Consolas" w:hAnsi="Consolas"/>
        </w:rPr>
        <w:t xml:space="preserve">calculations/metrics.py</w:t>
      </w:r>
      <w:r>
        <w:t xml:space="preserve"> (ALG-06). Test in </w:t>
      </w:r>
      <w:r>
        <w:rPr>
          <w:rFonts w:ascii="Consolas" w:cs="Consolas" w:eastAsia="Consolas" w:hAnsi="Consolas"/>
        </w:rPr>
        <w:t xml:space="preserve">tests/test_calculations.py</w:t>
      </w:r>
      <w:r>
        <w:t xml:space="preserve"> che verificano l'identità di scomposizione (somma dei contributi = volatilità di portafoglio).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9. Simulazione Monte Carlo</w:t>
      </w:r>
    </w:p>
    <w:p>
      <w:pPr>
        <w:spacing w:after="120"/>
        <w:jc w:val="both"/>
      </w:pPr>
      <w:r>
        <w:t xml:space="preserve">La simulazione genera molti scenari di rendimento futuri coerenti con le CMA, per stimare la distribuzione dei risultati di portafoglio. Sono implementate due distribuzioni.</w:t>
      </w:r>
    </w:p>
    <w:p>
      <w:pPr>
        <w:spacing w:after="120"/>
        <w:jc w:val="both"/>
      </w:pPr>
      <w:r>
        <w:rPr>
          <w:b/>
          <w:bCs/>
        </w:rPr>
        <w:t xml:space="preserve">Normale multivariata.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r = μ + Lz, LL^(ᵀ) = Σ, z ~ N(0, I)</w:t>
      </w:r>
    </w:p>
    <w:p>
      <w:pPr>
        <w:spacing w:after="120"/>
        <w:jc w:val="both"/>
      </w:pPr>
      <w:r>
        <w:t xml:space="preserve">La fattorizzazione </w:t>
      </w:r>
      <w:r>
        <w:rPr>
          <w:i/>
          <w:iCs/>
        </w:rPr>
        <w:t xml:space="preserve">L</w:t>
      </w:r>
      <w:r>
        <w:t xml:space="preserve"> si ottiene per decomposizione di Cholesky; in caso di matrice non fattorizzabile per arrotondamenti si ricorre alla radice simmetrica via decomposizione spettrale con floor sugli autovalori (robustezza numerica del campionamento, non correzione silenziosa dei dati: la validazione della matrice avviene a monte).</w:t>
      </w:r>
    </w:p>
    <w:p>
      <w:pPr>
        <w:spacing w:after="120"/>
        <w:jc w:val="both"/>
      </w:pPr>
      <w:r>
        <w:rPr>
          <w:b/>
          <w:bCs/>
        </w:rPr>
        <w:t xml:space="preserve">t di Student multivariata.</w:t>
      </w:r>
      <w:r>
        <w:t xml:space="preserve"> Per rappresentare code più spesse della normale: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r = μ + (z)/(√(g/ν)), z ~ N(0, S), g ~ χ^2_(ν)</w:t>
      </w:r>
    </w:p>
    <w:p>
      <w:pPr>
        <w:spacing w:after="120"/>
        <w:jc w:val="both"/>
      </w:pPr>
      <w:r>
        <w:t xml:space="preserve">con </w:t>
      </w:r>
      <w:r>
        <w:rPr>
          <w:b/>
          <w:bCs/>
        </w:rPr>
        <w:t xml:space="preserve">parametrizzazione esplicita</w:t>
      </w:r>
      <w:r>
        <w:t xml:space="preserve"> della matrice di scala affinché la covarianza dei rendimenti sia esattamente Σ. Poiché per una t multivariata </w:t>
      </w:r>
      <w:r>
        <w:rPr>
          <w:i/>
          <w:iCs/>
        </w:rPr>
        <w:t xml:space="preserve">Cov(r) = (ν)/(ν-2) S</w:t>
      </w:r>
      <w:r>
        <w:t xml:space="preserve">, si impone: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S = (ν - 2)/(ν) Σ</w:t>
      </w:r>
    </w:p>
    <w:p>
      <w:pPr>
        <w:spacing w:after="120"/>
        <w:jc w:val="both"/>
      </w:pPr>
      <w:r>
        <w:t xml:space="preserve">così che </w:t>
      </w:r>
      <w:r>
        <w:rPr>
          <w:i/>
          <w:iCs/>
        </w:rPr>
        <w:t xml:space="preserve">Cov(r) = Σ</w:t>
      </w:r>
      <w:r>
        <w:t xml:space="preserve"> per </w:t>
      </w:r>
      <w:r>
        <w:rPr>
          <w:i/>
          <w:iCs/>
        </w:rPr>
        <w:t xml:space="preserve">ν &gt; 2</w:t>
      </w:r>
      <w:r>
        <w:t xml:space="preserve">. I gradi di libertà ν sono configurabili (default tecnico 5, vincolo </w:t>
      </w:r>
      <w:r>
        <w:rPr>
          <w:i/>
          <w:iCs/>
        </w:rPr>
        <w:t xml:space="preserve">ν &gt; 2</w:t>
      </w:r>
      <w:r>
        <w:t xml:space="preserve"> per avere varianza finita). Questa distinzione tra matrice di scala e covarianza è essenziale: senza la correzione, la t produrrebbe una covarianza gonfiata di un fattore </w:t>
      </w:r>
      <w:r>
        <w:rPr>
          <w:i/>
          <w:iCs/>
        </w:rPr>
        <w:t xml:space="preserve">ν/(ν-2)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Parametri configurabili.</w:t>
      </w:r>
      <w:r>
        <w:t xml:space="preserve"> Distribuzione, gradi di libertà, orizzonte, frequenza, numero di simulazioni, seed, inflazione, ribilanciamento, livello di confidenza.</w:t>
      </w:r>
    </w:p>
    <w:p>
      <w:pPr>
        <w:spacing w:after="120"/>
        <w:jc w:val="both"/>
      </w:pPr>
      <w:r>
        <w:rPr>
          <w:b/>
          <w:bCs/>
        </w:rPr>
        <w:t xml:space="preserve">Riproducibilità ed errore Monte Carlo.</w:t>
      </w:r>
      <w:r>
        <w:t xml:space="preserve"> Le simulazioni sono riproducibili: a parità di seed producono risultati identici (verificato da test). L'errore Monte Carlo decresce con la radice del numero di simulazioni; i test di convergenza verificano che media e covarianza campionarie tendano ai valori teorici.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simulations/distributions.py</w:t>
      </w:r>
      <w:r>
        <w:t xml:space="preserve">: </w:t>
      </w:r>
      <w:r>
        <w:rPr>
          <w:rFonts w:ascii="Consolas" w:cs="Consolas" w:eastAsia="Consolas" w:hAnsi="Consolas"/>
        </w:rPr>
        <w:t xml:space="preserve">campiona_normale</w:t>
      </w:r>
      <w:r>
        <w:t xml:space="preserve"> (ALG-10), </w:t>
      </w:r>
      <w:r>
        <w:rPr>
          <w:rFonts w:ascii="Consolas" w:cs="Consolas" w:eastAsia="Consolas" w:hAnsi="Consolas"/>
        </w:rPr>
        <w:t xml:space="preserve">campiona_t_student</w:t>
      </w:r>
      <w:r>
        <w:t xml:space="preserve"> (ALG-11), dispatcher </w:t>
      </w:r>
      <w:r>
        <w:rPr>
          <w:rFonts w:ascii="Consolas" w:cs="Consolas" w:eastAsia="Consolas" w:hAnsi="Consolas"/>
        </w:rPr>
        <w:t xml:space="preserve">campiona_rendimenti</w:t>
      </w:r>
      <w:r>
        <w:t xml:space="preserve">. Test in </w:t>
      </w:r>
      <w:r>
        <w:rPr>
          <w:rFonts w:ascii="Consolas" w:cs="Consolas" w:eastAsia="Consolas" w:hAnsi="Consolas"/>
        </w:rPr>
        <w:t xml:space="preserve">tests/test_distributions.py</w:t>
      </w:r>
      <w:r>
        <w:t xml:space="preserve">: la covarianza empirica della t converge a Σ (non a S); la curtosi della t supera quella della normale; riproducibilità del seed.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10. Percorsi multi-periodali</w:t>
      </w:r>
    </w:p>
    <w:p>
      <w:pPr>
        <w:spacing w:after="120"/>
        <w:jc w:val="both"/>
      </w:pPr>
      <w:r>
        <w:rPr>
          <w:b/>
          <w:bCs/>
        </w:rPr>
        <w:t xml:space="preserve">Capitalizzazione.</w:t>
      </w:r>
      <w:r>
        <w:t xml:space="preserve"> Il montante a fine orizzonte lungo un percorso è il prodotto dei rendimenti periodali: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V_T = V_0 ∏[t=1..T](1 + R_(p,t))</w:t>
      </w:r>
    </w:p>
    <w:p>
      <w:pPr>
        <w:spacing w:after="120"/>
        <w:jc w:val="both"/>
      </w:pPr>
      <w:r>
        <w:rPr>
          <w:b/>
          <w:bCs/>
        </w:rPr>
        <w:t xml:space="preserve">Flussi opzionali.</w:t>
      </w:r>
      <w:r>
        <w:t xml:space="preserve"> In presenza di contributi </w:t>
      </w:r>
      <w:r>
        <w:rPr>
          <w:i/>
          <w:iCs/>
        </w:rPr>
        <w:t xml:space="preserve">C_t</w:t>
      </w:r>
      <w:r>
        <w:t xml:space="preserve"> e uscite </w:t>
      </w:r>
      <w:r>
        <w:rPr>
          <w:i/>
          <w:iCs/>
        </w:rPr>
        <w:t xml:space="preserve">W_t</w:t>
      </w:r>
      <w:r>
        <w:t xml:space="preserve">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V_t = (V_(t-1) + C_t - W_t)(1 + R_(p,t))</w:t>
      </w:r>
    </w:p>
    <w:p>
      <w:pPr>
        <w:spacing w:after="120"/>
        <w:jc w:val="both"/>
      </w:pPr>
      <w:r>
        <w:rPr>
          <w:b/>
          <w:bCs/>
        </w:rPr>
        <w:t xml:space="preserve">Compounding e drag di volatilità.</w:t>
      </w:r>
      <w:r>
        <w:t xml:space="preserve"> La capitalizzazione composta implica che il rendimento geometrico di lungo periodo sia inferiore a quello aritmetico; la differenza cresce con la volatilità. Questo è il motivo per cui un comparto a più alta volatilità non domina automaticamente in termini di montante mediano.</w:t>
      </w:r>
    </w:p>
    <w:p>
      <w:pPr>
        <w:spacing w:after="120"/>
        <w:jc w:val="both"/>
      </w:pPr>
      <w:r>
        <w:rPr>
          <w:b/>
          <w:bCs/>
        </w:rPr>
        <w:t xml:space="preserve">Sequence-of-returns risk.</w:t>
      </w:r>
      <w:r>
        <w:t xml:space="preserve"> L'ordine dei rendimenti conta quando vi sono flussi o ribilanciamenti: una grave perdita in prossimità del pensionamento ha un impatto sul montante molto maggiore della stessa perdita lontana dall'orizzonte. È precisamente questo rischio — non la volatilità media — a giustificare il de-risking life cycle. La simulazione multi-periodo con percorsi completi (non solo il rendimento terminale) consente di osservarlo, attraverso il drawdown lungo il percorso.</w:t>
      </w:r>
    </w:p>
    <w:p>
      <w:pPr>
        <w:spacing w:after="120"/>
        <w:jc w:val="both"/>
      </w:pPr>
      <w:r>
        <w:rPr>
          <w:b/>
          <w:bCs/>
        </w:rPr>
        <w:t xml:space="preserve">Frequenza e ribilanciamento.</w:t>
      </w:r>
      <w:r>
        <w:t xml:space="preserve"> Sono supportate frequenza annuale e mensile e due regimi: ribilanciamento periodico ai pesi target, oppure buy-and-hold (i pesi driftano col valore relativo degli asset). I rendimenti attesi annui si convertono alla frequenza in modo geometrico, </w:t>
      </w:r>
      <w:r>
        <w:rPr>
          <w:i/>
          <w:iCs/>
        </w:rPr>
        <w:t xml:space="preserve">(1+μ)^(1/p)-1</w:t>
      </w:r>
      <w:r>
        <w:t xml:space="preserve">; la covarianza si scala linearmente nel tempo, </w:t>
      </w:r>
      <w:r>
        <w:rPr>
          <w:i/>
          <w:iCs/>
        </w:rPr>
        <w:t xml:space="preserve">Σ/p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simulations/path_engine.py</w:t>
      </w:r>
      <w:r>
        <w:t xml:space="preserve">: </w:t>
      </w:r>
      <w:r>
        <w:rPr>
          <w:rFonts w:ascii="Consolas" w:cs="Consolas" w:eastAsia="Consolas" w:hAnsi="Consolas"/>
        </w:rPr>
        <w:t xml:space="preserve">evolvi_percorsi</w:t>
      </w:r>
      <w:r>
        <w:t xml:space="preserve"> (ALG-12), con drawdown lungo i percorsi (ALG-13). Test in </w:t>
      </w:r>
      <w:r>
        <w:rPr>
          <w:rFonts w:ascii="Consolas" w:cs="Consolas" w:eastAsia="Consolas" w:hAnsi="Consolas"/>
        </w:rPr>
        <w:t xml:space="preserve">tests/test_path_engine.py</w:t>
      </w:r>
      <w:r>
        <w:t xml:space="preserve">: montante composto su rendimento costante, differenza ribilanciamento vs buy-and-hold, drawdown su serie nota, effetto dei contributi, conversione di frequenza.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11. Shortfall risk</w:t>
      </w:r>
    </w:p>
    <w:p>
      <w:pPr>
        <w:spacing w:after="120"/>
        <w:jc w:val="both"/>
      </w:pPr>
      <w:r>
        <w:t xml:space="preserve">Lo shortfall previdenziale misura il rischio di mancare un obiettivo. Si distinguono due grandezze.</w:t>
      </w:r>
    </w:p>
    <w:p>
      <w:pPr>
        <w:spacing w:after="120"/>
        <w:jc w:val="both"/>
      </w:pPr>
      <w:r>
        <w:rPr>
          <w:b/>
          <w:bCs/>
        </w:rPr>
        <w:t xml:space="preserve">Probabilità di shortfall: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P(R_T &lt; R^(*))</w:t>
      </w:r>
    </w:p>
    <w:p>
      <w:pPr>
        <w:spacing w:after="120"/>
        <w:jc w:val="both"/>
      </w:pPr>
      <w:r>
        <w:rPr>
          <w:b/>
          <w:bCs/>
        </w:rPr>
        <w:t xml:space="preserve">Entità media dello shortfall (deficit medio condizionato):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Eleft[R^(*) - R_T | R_T &lt; R^(*)right]</w:t>
      </w:r>
    </w:p>
    <w:p>
      <w:pPr>
        <w:spacing w:after="120"/>
        <w:jc w:val="both"/>
      </w:pPr>
      <w:r>
        <w:t xml:space="preserve">La prima dice </w:t>
      </w:r>
      <w:r>
        <w:rPr>
          <w:b/>
          <w:bCs/>
        </w:rPr>
        <w:t xml:space="preserve">quanto spesso</w:t>
      </w:r>
      <w:r>
        <w:t xml:space="preserve"> si manca l'obiettivo; la seconda </w:t>
      </w:r>
      <w:r>
        <w:rPr>
          <w:b/>
          <w:bCs/>
        </w:rPr>
        <w:t xml:space="preserve">di quanto</w:t>
      </w:r>
      <w:r>
        <w:t xml:space="preserve"> in media quando lo si manca. Sono complementari: due allocazioni possono avere la stessa probabilità di shortfall ma entità molto diverse.</w:t>
      </w:r>
    </w:p>
    <w:p>
      <w:pPr>
        <w:spacing w:after="120"/>
        <w:jc w:val="both"/>
      </w:pPr>
      <w:r>
        <w:rPr>
          <w:b/>
          <w:bCs/>
        </w:rPr>
        <w:t xml:space="preserve">Definizione operativa della soglia (DEC-001, provvisoria).</w:t>
      </w:r>
      <w:r>
        <w:t xml:space="preserve"> La soglia </w:t>
      </w:r>
      <w:r>
        <w:rPr>
          <w:i/>
          <w:iCs/>
        </w:rPr>
        <w:t xml:space="preserve">R^(*)</w:t>
      </w:r>
      <w:r>
        <w:t xml:space="preserve"> dipende dalla definizione di shortfall adottata, che è </w:t>
      </w:r>
      <w:r>
        <w:rPr>
          <w:b/>
          <w:bCs/>
        </w:rPr>
        <w:t xml:space="preserve">configurabile</w:t>
      </w:r>
      <w:r>
        <w:t xml:space="preserve">. Le definizioni disponibili comprendono: rendimento reale negativo; rendimento reale sotto l'obiettivo del comparto; rendimento nominale negativo; rendimento sotto l'inflazione; montante sotto una soglia. Il valore tecnico iniziale è lo shortfall rispetto all'obiettivo del comparto.</w:t>
      </w:r>
    </w:p>
    <w:p>
      <w:pPr>
        <w:spacing w:after="120"/>
        <w:jc w:val="both"/>
      </w:pPr>
      <w:r>
        <w:rPr>
          <w:b/>
          <w:bCs/>
        </w:rPr>
        <w:t xml:space="preserve">Questa scelta è provvisoria e va validata</w:t>
      </w:r>
      <w:r>
        <w:t xml:space="preserve"> dalla Funzione Gestione dei Rischi e dagli organi del Fondo.</w:t>
      </w:r>
    </w:p>
    <w:p>
      <w:pPr>
        <w:spacing w:after="120"/>
        <w:jc w:val="both"/>
      </w:pPr>
      <w:r>
        <w:rPr>
          <w:b/>
          <w:bCs/>
        </w:rPr>
        <w:t xml:space="preserve">Uso previdenziale.</w:t>
      </w:r>
      <w:r>
        <w:t xml:space="preserve"> Per un fondo pensione la probabilità di non preservare il potere d'acquisto (rendimento reale negativo) o di non raggiungere l'obiettivo è più informativa della sola volatilità: parla la lingua degli obiettivi del comparto.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calculations/risk_metrics.py</w:t>
      </w:r>
      <w:r>
        <w:t xml:space="preserve">: </w:t>
      </w:r>
      <w:r>
        <w:rPr>
          <w:rFonts w:ascii="Consolas" w:cs="Consolas" w:eastAsia="Consolas" w:hAnsi="Consolas"/>
        </w:rPr>
        <w:t xml:space="preserve">prob_shortfall</w:t>
      </w:r>
      <w:r>
        <w:t xml:space="preserve"> e </w:t>
      </w:r>
      <w:r>
        <w:rPr>
          <w:rFonts w:ascii="Consolas" w:cs="Consolas" w:eastAsia="Consolas" w:hAnsi="Consolas"/>
        </w:rPr>
        <w:t xml:space="preserve">shortfall_medio_condizionato</w:t>
      </w:r>
      <w:r>
        <w:t xml:space="preserve"> (ALG-16). La selezione della soglia secondo la definizione attiva avviene nel servizio </w:t>
      </w:r>
      <w:r>
        <w:rPr>
          <w:rFonts w:ascii="Consolas" w:cs="Consolas" w:eastAsia="Consolas" w:hAnsi="Consolas"/>
        </w:rPr>
        <w:t xml:space="preserve">simulation_service.py</w:t>
      </w:r>
      <w:r>
        <w:t xml:space="preserve">. Test in </w:t>
      </w:r>
      <w:r>
        <w:rPr>
          <w:rFonts w:ascii="Consolas" w:cs="Consolas" w:eastAsia="Consolas" w:hAnsi="Consolas"/>
        </w:rPr>
        <w:t xml:space="preserve">tests/test_simulations.py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12. VaR ed Expected Shortfall</w:t>
      </w:r>
    </w:p>
    <w:p>
      <w:pPr>
        <w:spacing w:after="120"/>
        <w:jc w:val="both"/>
      </w:pPr>
      <w:r>
        <w:rPr>
          <w:b/>
          <w:bCs/>
        </w:rPr>
        <w:t xml:space="preserve">Definizione di VaR.</w:t>
      </w:r>
      <w:r>
        <w:t xml:space="preserve"> Il Value at Risk a livello di confidenza α è il quantile della distribuzione di perdita: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VaR_(α)(L) = infl : P(L ≤ l) ≥ α</w:t>
      </w:r>
    </w:p>
    <w:p>
      <w:pPr>
        <w:spacing w:after="120"/>
        <w:jc w:val="both"/>
      </w:pPr>
      <w:r>
        <w:rPr>
          <w:b/>
          <w:bCs/>
        </w:rPr>
        <w:t xml:space="preserve">Expected Shortfall.</w:t>
      </w:r>
      <w:r>
        <w:t xml:space="preserve"> L'ES (o CVaR) è la </w:t>
      </w:r>
      <w:r>
        <w:rPr>
          <w:b/>
          <w:bCs/>
        </w:rPr>
        <w:t xml:space="preserve">perdita media oltre il VaR</w:t>
      </w:r>
      <w:r>
        <w:t xml:space="preserve">: la media delle perdite nei casi peggiori, quelli che eccedono il VaR al livello α. A differenza del VaR, l'ES informa sulla gravità della coda, non solo sulla sua soglia.</w:t>
      </w:r>
    </w:p>
    <w:p>
      <w:pPr>
        <w:spacing w:after="120"/>
        <w:jc w:val="both"/>
      </w:pPr>
      <w:r>
        <w:rPr>
          <w:b/>
          <w:bCs/>
        </w:rPr>
        <w:t xml:space="preserve">Convenzioni adottate.</w:t>
      </w:r>
      <w:r>
        <w:t xml:space="preserve"> Nello strumento la perdita è definita come </w:t>
      </w:r>
      <w:r>
        <w:rPr>
          <w:i/>
          <w:iCs/>
        </w:rPr>
        <w:t xml:space="preserve">1 - montante reale</w:t>
      </w:r>
      <w:r>
        <w:t xml:space="preserve"> a fine orizzonte (perdita positiva = riduzione del potere d'acquisto). Il livello di confidenza è configurabile: valore tecnico 95% (default), 99% alternativo (DEC-002,</w:t>
      </w:r>
    </w:p>
    <w:p>
      <w:pPr>
        <w:spacing w:after="120"/>
        <w:jc w:val="both"/>
      </w:pPr>
      <w:r>
        <w:rPr>
          <w:b/>
          <w:bCs/>
        </w:rPr>
        <w:t xml:space="preserve">provvisorio, da validare</w:t>
      </w:r>
      <w:r>
        <w:t xml:space="preserve">).</w:t>
      </w:r>
    </w:p>
    <w:p>
      <w:pPr>
        <w:spacing w:after="120"/>
        <w:jc w:val="both"/>
      </w:pPr>
      <w:r>
        <w:rPr>
          <w:b/>
          <w:bCs/>
        </w:rPr>
        <w:t xml:space="preserve">Differenza rispetto allo shortfall previdenziale.</w:t>
      </w:r>
      <w:r>
        <w:t xml:space="preserve"> VaR ed ES sono misure di </w:t>
      </w:r>
      <w:r>
        <w:rPr>
          <w:b/>
          <w:bCs/>
        </w:rPr>
        <w:t xml:space="preserve">rischio di mercato</w:t>
      </w:r>
      <w:r>
        <w:t xml:space="preserve"> sulla distribuzione di perdita; lo shortfall previdenziale (sezione 11) misura il rischio rispetto a un </w:t>
      </w:r>
      <w:r>
        <w:rPr>
          <w:b/>
          <w:bCs/>
        </w:rPr>
        <w:t xml:space="preserve">obiettivo</w:t>
      </w:r>
      <w:r>
        <w:t xml:space="preserve">. Sono concetti distinti e lo strumento usa denominazioni diverse per non confonderli.</w:t>
      </w:r>
    </w:p>
    <w:p>
      <w:pPr>
        <w:spacing w:after="120"/>
        <w:jc w:val="both"/>
      </w:pPr>
      <w:r>
        <w:rPr>
          <w:b/>
          <w:bCs/>
        </w:rPr>
        <w:t xml:space="preserve">Limiti.</w:t>
      </w:r>
      <w:r>
        <w:t xml:space="preserve"> Il VaR non è subadditivo e ignora la forma della coda oltre la soglia; l'ES la cattura ma resta sensibile al modello distributivo. La differenza tra normale e t è istruttiva: a parità di scenari l'ES sotto la t è sistematicamente più alto (vedi sezione 24), segnale che la normale sottostima la coda.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calculations/risk_metrics.py</w:t>
      </w:r>
      <w:r>
        <w:t xml:space="preserve">: </w:t>
      </w:r>
      <w:r>
        <w:rPr>
          <w:rFonts w:ascii="Consolas" w:cs="Consolas" w:eastAsia="Consolas" w:hAnsi="Consolas"/>
        </w:rPr>
        <w:t xml:space="preserve">var_perdita</w:t>
      </w:r>
      <w:r>
        <w:t xml:space="preserve"> (ALG-14), </w:t>
      </w:r>
      <w:r>
        <w:rPr>
          <w:rFonts w:ascii="Consolas" w:cs="Consolas" w:eastAsia="Consolas" w:hAnsi="Consolas"/>
        </w:rPr>
        <w:t xml:space="preserve">expected_shortfall_mercato</w:t>
      </w:r>
      <w:r>
        <w:t xml:space="preserve"> (ALG-15). Test in </w:t>
      </w:r>
      <w:r>
        <w:rPr>
          <w:rFonts w:ascii="Consolas" w:cs="Consolas" w:eastAsia="Consolas" w:hAnsi="Consolas"/>
        </w:rPr>
        <w:t xml:space="preserve">tests/test_simulations.py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13. Drawdown</w:t>
      </w:r>
    </w:p>
    <w:p>
      <w:pPr>
        <w:spacing w:after="120"/>
        <w:jc w:val="both"/>
      </w:pPr>
      <w:r>
        <w:rPr>
          <w:b/>
          <w:bCs/>
        </w:rPr>
        <w:t xml:space="preserve">Formule.</w:t>
      </w:r>
      <w:r>
        <w:t xml:space="preserve"> Il drawdown a ogni istante misura la caduta dal massimo precedente; il massimo drawdown è il più severo lungo il percorso: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DD_t = fracV_t - max_(s ≤ t) V_smax_(s ≤ t) V_s, MDD = min_t DD_t</w:t>
      </w:r>
    </w:p>
    <w:p>
      <w:pPr>
        <w:spacing w:after="120"/>
        <w:jc w:val="both"/>
      </w:pPr>
      <w:r>
        <w:rPr>
          <w:b/>
          <w:bCs/>
        </w:rPr>
        <w:t xml:space="preserve">Interpretazione e uso.</w:t>
      </w:r>
      <w:r>
        <w:t xml:space="preserve"> Il drawdown cattura la perdita peggiore vissuta lungo il percorso, non solo il risultato finale. È particolarmente rilevante in ottica previdenziale per il sequence-of-returns risk: un drawdown profondo in prossimità dell'orizzonte è difficilmente recuperabile. Lo strumento riporta il massimo drawdown mediano sugli scenari simulati.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calculations/risk_metrics.py</w:t>
      </w:r>
      <w:r>
        <w:t xml:space="preserve"> (</w:t>
      </w:r>
      <w:r>
        <w:rPr>
          <w:rFonts w:ascii="Consolas" w:cs="Consolas" w:eastAsia="Consolas" w:hAnsi="Consolas"/>
        </w:rPr>
        <w:t xml:space="preserve">drawdown_da_serie</w:t>
      </w:r>
      <w:r>
        <w:t xml:space="preserve">, </w:t>
      </w:r>
      <w:r>
        <w:rPr>
          <w:rFonts w:ascii="Consolas" w:cs="Consolas" w:eastAsia="Consolas" w:hAnsi="Consolas"/>
        </w:rPr>
        <w:t xml:space="preserve">max_drawdown_da_serie</w:t>
      </w:r>
      <w:r>
        <w:t xml:space="preserve">) e </w:t>
      </w:r>
      <w:r>
        <w:rPr>
          <w:rFonts w:ascii="Consolas" w:cs="Consolas" w:eastAsia="Consolas" w:hAnsi="Consolas"/>
        </w:rPr>
        <w:t xml:space="preserve">path_engine.py</w:t>
      </w:r>
      <w:r>
        <w:t xml:space="preserve"> (drawdown lungo i percorsi simulati), ALG-13. Test in </w:t>
      </w:r>
      <w:r>
        <w:rPr>
          <w:rFonts w:ascii="Consolas" w:cs="Consolas" w:eastAsia="Consolas" w:hAnsi="Consolas"/>
        </w:rPr>
        <w:t xml:space="preserve">tests/test_path_engine.py</w:t>
      </w:r>
      <w:r>
        <w:t xml:space="preserve"> su serie con drawdown noto.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14. Stress test</w:t>
      </w:r>
    </w:p>
    <w:p>
      <w:pPr>
        <w:spacing w:after="120"/>
        <w:jc w:val="both"/>
      </w:pPr>
      <w:r>
        <w:t xml:space="preserve">Gli stress test sono </w:t>
      </w:r>
      <w:r>
        <w:rPr>
          <w:b/>
          <w:bCs/>
        </w:rPr>
        <w:t xml:space="preserve">scenari deterministici</w:t>
      </w:r>
      <w:r>
        <w:t xml:space="preserve"> di shock applicati al portafoglio. Non sono probabilità: rappresentano l'impatto istantaneo di un dato scenario. Sono implementati in un motore separato dal Monte Carlo (DEC-013).</w:t>
      </w:r>
    </w:p>
    <w:p>
      <w:pPr>
        <w:spacing w:after="120"/>
        <w:jc w:val="both"/>
      </w:pPr>
      <w:r>
        <w:rPr>
          <w:b/>
          <w:bCs/>
        </w:rPr>
        <w:t xml:space="preserve">Shock obbligazionari (duration/convexity).</w:t>
      </w:r>
      <w:r>
        <w:t xml:space="preserve"> Per le asset class con duration, uno shock di tasso si traduce in variazione di prezzo: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(Δ P)/(P) ≈ -D_(mod) Δ y + (1)/(2) C (Δ y)^2</w:t>
      </w:r>
    </w:p>
    <w:p>
      <w:pPr>
        <w:spacing w:after="120"/>
        <w:jc w:val="both"/>
      </w:pPr>
      <w:r>
        <w:t xml:space="preserve">In assenza di convexity si usa la sola duration, $\frac{\Delta P}{P} \approx</w:t>
      </w:r>
    </w:p>
    <w:p>
      <w:pPr>
        <w:spacing w:after="120"/>
        <w:jc w:val="both"/>
      </w:pPr>
      <w:r>
        <w:t xml:space="preserve">-D_{\text{mod}}\,\Delta y$, segnalando l'approssimazione.</w:t>
      </w:r>
    </w:p>
    <w:p>
      <w:pPr>
        <w:spacing w:after="120"/>
        <w:jc w:val="both"/>
      </w:pPr>
      <w:r>
        <w:rPr>
          <w:b/>
          <w:bCs/>
        </w:rPr>
        <w:t xml:space="preserve">Tipologie di scenario implementate.</w:t>
      </w:r>
      <w:r>
        <w:t xml:space="preserve"> Shock azionari (ribassi percentuali diretti); shock di tasso (rialzi/ribassi paralleli tradotti via duration); shock sugli illiquidi (svalutazioni di real assets e private markets); scenario combinato (azioni in calo, tassi e spread in aumento, illiquidi in calo). Gli scenari demo sono etichettati e modificabili.</w:t>
      </w:r>
    </w:p>
    <w:p>
      <w:pPr>
        <w:spacing w:after="120"/>
        <w:jc w:val="both"/>
      </w:pPr>
      <w:r>
        <w:rPr>
          <w:b/>
          <w:bCs/>
        </w:rPr>
        <w:t xml:space="preserve">Aggregazione e output.</w:t>
      </w:r>
      <w:r>
        <w:t xml:space="preserve"> La perdita di portafoglio è la somma pesata degli shock per asset class; lo strumento riporta perdita complessiva, nuovo valore, contributo alla perdita per asset class ed effetto sulle quote di liquidità e illiquidità (i pesi relativi cambiano dopo lo shock).</w:t>
      </w:r>
    </w:p>
    <w:p>
      <w:pPr>
        <w:spacing w:after="120"/>
        <w:jc w:val="both"/>
      </w:pPr>
      <w:r>
        <w:rPr>
          <w:b/>
          <w:bCs/>
        </w:rPr>
        <w:t xml:space="preserve">Limiti.</w:t>
      </w:r>
      <w:r>
        <w:t xml:space="preserve"> Gli stress test dipendono dagli scenari scelti e non hanno associata una probabilità; gli shock di tasso richiedono la duration tra i dati. Vanno letti come "what-if" di robustezza, complementari al Monte Carlo.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stress_testing/fixed_income_shocks.py</w:t>
      </w:r>
      <w:r>
        <w:t xml:space="preserve"> (</w:t>
      </w:r>
      <w:r>
        <w:rPr>
          <w:rFonts w:ascii="Consolas" w:cs="Consolas" w:eastAsia="Consolas" w:hAnsi="Consolas"/>
        </w:rPr>
        <w:t xml:space="preserve">shock_tasso</w:t>
      </w:r>
      <w:r>
        <w:t xml:space="preserve">, ALG-17), </w:t>
      </w:r>
      <w:r>
        <w:rPr>
          <w:rFonts w:ascii="Consolas" w:cs="Consolas" w:eastAsia="Consolas" w:hAnsi="Consolas"/>
        </w:rPr>
        <w:t xml:space="preserve">stress_engine.py</w:t>
      </w:r>
      <w:r>
        <w:t xml:space="preserve"> (</w:t>
      </w:r>
      <w:r>
        <w:rPr>
          <w:rFonts w:ascii="Consolas" w:cs="Consolas" w:eastAsia="Consolas" w:hAnsi="Consolas"/>
        </w:rPr>
        <w:t xml:space="preserve">applica_stress</w:t>
      </w:r>
      <w:r>
        <w:t xml:space="preserve">, ALG-18; </w:t>
      </w:r>
      <w:r>
        <w:rPr>
          <w:rFonts w:ascii="Consolas" w:cs="Consolas" w:eastAsia="Consolas" w:hAnsi="Consolas"/>
        </w:rPr>
        <w:t xml:space="preserve">effetto_su_quote</w:t>
      </w:r>
      <w:r>
        <w:t xml:space="preserve">), </w:t>
      </w:r>
      <w:r>
        <w:rPr>
          <w:rFonts w:ascii="Consolas" w:cs="Consolas" w:eastAsia="Consolas" w:hAnsi="Consolas"/>
        </w:rPr>
        <w:t xml:space="preserve">scenarios.py</w:t>
      </w:r>
      <w:r>
        <w:t xml:space="preserve">. Test in </w:t>
      </w:r>
      <w:r>
        <w:rPr>
          <w:rFonts w:ascii="Consolas" w:cs="Consolas" w:eastAsia="Consolas" w:hAnsi="Consolas"/>
        </w:rPr>
        <w:t xml:space="preserve">tests/test_stress.py</w:t>
      </w:r>
      <w:r>
        <w:t xml:space="preserve">: perdita azionaria attesa, shock di tasso via duration, somma dei contributi pari alla perdita, effetto sulle quote.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15. Ottimizzazione dell'AAS</w:t>
      </w:r>
    </w:p>
    <w:p>
      <w:pPr>
        <w:spacing w:after="120"/>
        <w:jc w:val="both"/>
      </w:pPr>
      <w:r>
        <w:t xml:space="preserve">Il motore propone allocazioni ottimali sotto vincoli. Sono implementate tre funzioni obiettivo dirette, più il minimo rischio a rendimento target ottenibile via vincolo.</w:t>
      </w:r>
    </w:p>
    <w:p>
      <w:pPr>
        <w:spacing w:after="120"/>
        <w:jc w:val="both"/>
      </w:pPr>
      <w:r>
        <w:rPr>
          <w:b/>
          <w:bCs/>
        </w:rPr>
        <w:t xml:space="preserve">Minima varianza.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min_(w) w^(ᵀ)Σw</w:t>
      </w:r>
    </w:p>
    <w:p>
      <w:pPr>
        <w:spacing w:after="120"/>
        <w:jc w:val="both"/>
      </w:pPr>
      <w:r>
        <w:rPr>
          <w:b/>
          <w:bCs/>
        </w:rPr>
        <w:t xml:space="preserve">Massimo rendimento (con vincoli di rischio/allocazione).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max_(w) w^(ᵀ)μ</w:t>
      </w:r>
    </w:p>
    <w:p>
      <w:pPr>
        <w:spacing w:after="120"/>
        <w:jc w:val="both"/>
      </w:pPr>
      <w:r>
        <w:rPr>
          <w:b/>
          <w:bCs/>
        </w:rPr>
        <w:t xml:space="preserve">Massimo Sharpe ratio.</w:t>
      </w:r>
    </w:p>
    <w:p>
      <w:pPr>
        <w:spacing w:after="120" w:before="120"/>
        <w:jc w:val="center"/>
      </w:pPr>
      <w:r>
        <w:rPr>
          <w:i/>
          <w:iCs/>
          <w:sz w:val="24"/>
          <w:szCs w:val="24"/>
        </w:rPr>
        <w:t xml:space="preserve">max_(w) fracw^(ᵀ)μ - r_f √(w^(ᵀ)Σw)</w:t>
      </w:r>
    </w:p>
    <w:p>
      <w:pPr>
        <w:spacing w:after="120"/>
        <w:jc w:val="both"/>
      </w:pPr>
      <w:r>
        <w:t xml:space="preserve">con risk free </w:t>
      </w:r>
      <w:r>
        <w:rPr>
          <w:i/>
          <w:iCs/>
        </w:rPr>
        <w:t xml:space="preserve">r_f</w:t>
      </w:r>
      <w:r>
        <w:t xml:space="preserve"> configurabile (default 0).</w:t>
      </w:r>
    </w:p>
    <w:p>
      <w:pPr>
        <w:spacing w:after="120"/>
        <w:jc w:val="both"/>
      </w:pPr>
      <w:r>
        <w:rPr>
          <w:b/>
          <w:bCs/>
        </w:rPr>
        <w:t xml:space="preserve">Minimo rischio a rendimento target.</w:t>
      </w:r>
      <w:r>
        <w:t xml:space="preserve"> Si ottiene minimizzando la varianza con il vincolo </w:t>
      </w:r>
      <w:r>
        <w:rPr>
          <w:i/>
          <w:iCs/>
        </w:rPr>
        <w:t xml:space="preserve">w^(ᵀ)μ ≥ R_(target)</w:t>
      </w:r>
      <w:r>
        <w:t xml:space="preserve"> (sezione 16). È il meccanismo che genera la frontiera efficiente (sezione 17).</w:t>
      </w:r>
    </w:p>
    <w:p>
      <w:pPr>
        <w:spacing w:after="120"/>
        <w:jc w:val="both"/>
      </w:pPr>
      <w:r>
        <w:rPr>
          <w:b/>
          <w:bCs/>
        </w:rPr>
        <w:t xml:space="preserve">Solver.</w:t>
      </w:r>
      <w:r>
        <w:t xml:space="preserve"> </w:t>
      </w:r>
      <w:r>
        <w:rPr>
          <w:rFonts w:ascii="Consolas" w:cs="Consolas" w:eastAsia="Consolas" w:hAnsi="Consolas"/>
        </w:rPr>
        <w:t xml:space="preserve">scipy.optimize.minimize</w:t>
      </w:r>
      <w:r>
        <w:t xml:space="preserve"> con metodo SLSQP (DEC-015): gestisce vincoli non lineari (volatilità massima, Sharpe), è già nello stack scipy e compatibile con il deployment, senza solver esterni. Tolleranza e numero massimo di iterazioni configurabili. Punto iniziale: l'AAS vigente se disponibile, altrimenti equipesato.</w:t>
      </w:r>
    </w:p>
    <w:p>
      <w:pPr>
        <w:spacing w:after="120"/>
        <w:jc w:val="both"/>
      </w:pPr>
      <w:r>
        <w:rPr>
          <w:b/>
          <w:bCs/>
        </w:rPr>
        <w:t xml:space="preserve">Arrotondamento.</w:t>
      </w:r>
      <w:r>
        <w:t xml:space="preserve"> I pesi possono essere arrotondati (0,1% / 0,5% / 1%) per evitare falsa precisione, con </w:t>
      </w:r>
      <w:r>
        <w:rPr>
          <w:b/>
          <w:bCs/>
        </w:rPr>
        <w:t xml:space="preserve">ri-verifica dei vincoli</w:t>
      </w:r>
      <w:r>
        <w:t xml:space="preserve"> dopo l'arrotondamento.</w:t>
      </w:r>
    </w:p>
    <w:p>
      <w:pPr>
        <w:spacing w:after="120"/>
        <w:jc w:val="both"/>
      </w:pPr>
      <w:r>
        <w:rPr>
          <w:b/>
          <w:bCs/>
        </w:rPr>
        <w:t xml:space="preserve">Funzione prevista, non implementata.</w:t>
      </w:r>
      <w:r>
        <w:t xml:space="preserve"> La minimizzazione della probabilità di shortfall come obiettivo (obiettivo non lineare che richiederebbe Monte Carlo nel ciclo di ottimizzazione) </w:t>
      </w:r>
      <w:r>
        <w:rPr>
          <w:b/>
          <w:bCs/>
        </w:rPr>
        <w:t xml:space="preserve">non è implementata</w:t>
      </w:r>
      <w:r>
        <w:t xml:space="preserve"> nel perimetro attuale, per ragioni di stabilità e costo computazionale; è prevista come estensione (DEC-017). Documentarla come disponibile sarebbe scorretto.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optimization/objectives.py</w:t>
      </w:r>
      <w:r>
        <w:t xml:space="preserve"> (ALG-19/20/21), </w:t>
      </w:r>
      <w:r>
        <w:rPr>
          <w:rFonts w:ascii="Consolas" w:cs="Consolas" w:eastAsia="Consolas" w:hAnsi="Consolas"/>
        </w:rPr>
        <w:t xml:space="preserve">optimizer.py</w:t>
      </w:r>
      <w:r>
        <w:t xml:space="preserve"> (</w:t>
      </w:r>
      <w:r>
        <w:rPr>
          <w:rFonts w:ascii="Consolas" w:cs="Consolas" w:eastAsia="Consolas" w:hAnsi="Consolas"/>
        </w:rPr>
        <w:t xml:space="preserve">ottimizza</w:t>
      </w:r>
      <w:r>
        <w:t xml:space="preserve">). Validazione: la minima varianza riproduce la soluzione analitica </w:t>
      </w:r>
      <w:r>
        <w:rPr>
          <w:i/>
          <w:iCs/>
        </w:rPr>
        <w:t xml:space="preserve">w = Σ^(-1)1/(1^(ᵀ)Σ^(-1)1)</w:t>
      </w:r>
      <w:r>
        <w:t xml:space="preserve"> entro tolleranza stretta. Test in </w:t>
      </w:r>
      <w:r>
        <w:rPr>
          <w:rFonts w:ascii="Consolas" w:cs="Consolas" w:eastAsia="Consolas" w:hAnsi="Consolas"/>
        </w:rPr>
        <w:t xml:space="preserve">tests/test_optimization.py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16. Vincoli</w:t>
      </w:r>
    </w:p>
    <w:p>
      <w:pPr>
        <w:spacing w:after="120"/>
        <w:jc w:val="both"/>
      </w:pPr>
      <w:r>
        <w:t xml:space="preserve">Tutti i vincoli sono configurabili e passati al solver nel formato richiesto da SLSQP.</w:t>
      </w:r>
    </w:p>
    <w:p>
      <w:pPr>
        <w:spacing w:after="120"/>
        <w:jc w:val="both"/>
      </w:pPr>
      <w:r>
        <w:rPr>
          <w:b/>
          <w:bCs/>
        </w:rPr>
        <w:t xml:space="preserve">Pieno investimento.</w:t>
      </w:r>
      <w:r>
        <w:t xml:space="preserve"> </w:t>
      </w:r>
      <w:r>
        <w:rPr>
          <w:i/>
          <w:iCs/>
        </w:rPr>
        <w:t xml:space="preserve">Σ_i w_i = 1</w:t>
      </w:r>
    </w:p>
    <w:p>
      <w:pPr>
        <w:spacing w:after="120"/>
        <w:jc w:val="both"/>
      </w:pPr>
      <w:r>
        <w:rPr>
          <w:b/>
          <w:bCs/>
        </w:rPr>
        <w:t xml:space="preserve">Limiti individuali (e divieto di posizioni corte).</w:t>
      </w:r>
      <w:r>
        <w:t xml:space="preserve"> </w:t>
      </w:r>
      <w:r>
        <w:rPr>
          <w:i/>
          <w:iCs/>
        </w:rPr>
        <w:t xml:space="preserve">l_i ≤ w_i ≤ u_i</w:t>
      </w:r>
      <w:r>
        <w:t xml:space="preserve">, con </w:t>
      </w:r>
      <w:r>
        <w:rPr>
          <w:i/>
          <w:iCs/>
        </w:rPr>
        <w:t xml:space="preserve">w_i ≥ 0</w:t>
      </w:r>
      <w:r>
        <w:t xml:space="preserve"> come caso particolare.</w:t>
      </w:r>
    </w:p>
    <w:p>
      <w:pPr>
        <w:spacing w:after="120"/>
        <w:jc w:val="both"/>
      </w:pPr>
      <w:r>
        <w:rPr>
          <w:b/>
          <w:bCs/>
        </w:rPr>
        <w:t xml:space="preserve">Vincoli di gruppo.</w:t>
      </w:r>
      <w:r>
        <w:t xml:space="preserve"> </w:t>
      </w:r>
      <w:r>
        <w:rPr>
          <w:i/>
          <w:iCs/>
        </w:rPr>
        <w:t xml:space="preserve">L_g ≤ Σ[i ∈ g] w_i ≤ U_g</w:t>
      </w:r>
    </w:p>
    <w:p>
      <w:pPr>
        <w:spacing w:after="120"/>
        <w:jc w:val="both"/>
      </w:pPr>
      <w:r>
        <w:rPr>
          <w:b/>
          <w:bCs/>
        </w:rPr>
        <w:t xml:space="preserve">Liquidità minima.</w:t>
      </w:r>
      <w:r>
        <w:t xml:space="preserve"> </w:t>
      </w:r>
      <w:r>
        <w:rPr>
          <w:i/>
          <w:iCs/>
        </w:rPr>
        <w:t xml:space="preserve">Σ[i ∈ L] w_i ≥ L_(min)</w:t>
      </w:r>
    </w:p>
    <w:p>
      <w:pPr>
        <w:spacing w:after="120"/>
        <w:jc w:val="both"/>
      </w:pPr>
      <w:r>
        <w:rPr>
          <w:b/>
          <w:bCs/>
        </w:rPr>
        <w:t xml:space="preserve">Illiquidità massima.</w:t>
      </w:r>
      <w:r>
        <w:t xml:space="preserve"> </w:t>
      </w:r>
      <w:r>
        <w:rPr>
          <w:i/>
          <w:iCs/>
        </w:rPr>
        <w:t xml:space="preserve">Σ[i ∈ I] w_i ≤ I_(max)</w:t>
      </w:r>
    </w:p>
    <w:p>
      <w:pPr>
        <w:spacing w:after="120"/>
        <w:jc w:val="both"/>
      </w:pPr>
      <w:r>
        <w:rPr>
          <w:b/>
          <w:bCs/>
        </w:rPr>
        <w:t xml:space="preserve">Rendimento minimo.</w:t>
      </w:r>
      <w:r>
        <w:t xml:space="preserve"> </w:t>
      </w:r>
      <w:r>
        <w:rPr>
          <w:i/>
          <w:iCs/>
        </w:rPr>
        <w:t xml:space="preserve">w^(ᵀ)μ ≥ R_(min)</w:t>
      </w:r>
    </w:p>
    <w:p>
      <w:pPr>
        <w:spacing w:after="120"/>
        <w:jc w:val="both"/>
      </w:pPr>
      <w:r>
        <w:rPr>
          <w:b/>
          <w:bCs/>
        </w:rPr>
        <w:t xml:space="preserve">Volatilità massima.</w:t>
      </w:r>
      <w:r>
        <w:t xml:space="preserve"> </w:t>
      </w:r>
      <w:r>
        <w:rPr>
          <w:i/>
          <w:iCs/>
        </w:rPr>
        <w:t xml:space="preserve">√(w^(ᵀ)Σw) ≤ σ_(max)</w:t>
      </w:r>
    </w:p>
    <w:p>
      <w:pPr>
        <w:spacing w:after="120"/>
        <w:jc w:val="both"/>
      </w:pPr>
      <w:r>
        <w:rPr>
          <w:b/>
          <w:bCs/>
        </w:rPr>
        <w:t xml:space="preserve">Duration.</w:t>
      </w:r>
      <w:r>
        <w:t xml:space="preserve"> </w:t>
      </w:r>
      <w:r>
        <w:rPr>
          <w:i/>
          <w:iCs/>
        </w:rPr>
        <w:t xml:space="preserve">D_(min) ≤ Σ_i w_i D_i ≤ D_(max)</w:t>
      </w:r>
    </w:p>
    <w:p>
      <w:pPr>
        <w:spacing w:after="120"/>
        <w:jc w:val="both"/>
      </w:pPr>
      <w:r>
        <w:rPr>
          <w:b/>
          <w:bCs/>
        </w:rPr>
        <w:t xml:space="preserve">Esposizione valutaria.</w:t>
      </w:r>
      <w:r>
        <w:t xml:space="preserve"> </w:t>
      </w:r>
      <w:r>
        <w:rPr>
          <w:i/>
          <w:iCs/>
        </w:rPr>
        <w:t xml:space="preserve">FX_(min) ≤ Σ_i w_i FX_i ≤ FX_(max)</w:t>
      </w:r>
    </w:p>
    <w:p>
      <w:pPr>
        <w:spacing w:after="120"/>
        <w:jc w:val="both"/>
      </w:pPr>
      <w:r>
        <w:rPr>
          <w:b/>
          <w:bCs/>
        </w:rPr>
        <w:t xml:space="preserve">Turnover rispetto alla AAS vigente.</w:t>
      </w:r>
      <w:r>
        <w:t xml:space="preserve"> </w:t>
      </w:r>
      <w:r>
        <w:rPr>
          <w:i/>
          <w:iCs/>
        </w:rPr>
        <w:t xml:space="preserve">Σ_i |w_i - w_i^0| ≤ T_(max)</w:t>
      </w:r>
    </w:p>
    <w:p>
      <w:pPr>
        <w:spacing w:after="120"/>
        <w:jc w:val="both"/>
      </w:pPr>
      <w:r>
        <w:t xml:space="preserve">Quest'ultimo vincolo, basato sul valore assoluto, non è differenziabile e crea difficoltà ai solver a gradiente. È implementato tramite </w:t>
      </w:r>
      <w:r>
        <w:rPr>
          <w:b/>
          <w:bCs/>
        </w:rPr>
        <w:t xml:space="preserve">riformulazione a variabili ausiliarie</w:t>
      </w:r>
      <w:r>
        <w:t xml:space="preserve"> (DEC-016): si introducono </w:t>
      </w:r>
      <w:r>
        <w:rPr>
          <w:i/>
          <w:iCs/>
        </w:rPr>
        <w:t xml:space="preserve">u_i ≥ |w_i - w_i^0|</w:t>
      </w:r>
      <w:r>
        <w:t xml:space="preserve"> (due vincoli lineari per asset) e </w:t>
      </w:r>
      <w:r>
        <w:rPr>
          <w:i/>
          <w:iCs/>
        </w:rPr>
        <w:t xml:space="preserve">Σ_i u_i ≤ T_(max)</w:t>
      </w:r>
      <w:r>
        <w:t xml:space="preserve">, rendendo il problema liscio. È l'approccio standard per i vincoli L1.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optimization/constraints.py</w:t>
      </w:r>
      <w:r>
        <w:t xml:space="preserve"> (</w:t>
      </w:r>
      <w:r>
        <w:rPr>
          <w:rFonts w:ascii="Consolas" w:cs="Consolas" w:eastAsia="Consolas" w:hAnsi="Consolas"/>
        </w:rPr>
        <w:t xml:space="preserve">costruisci_vincoli</w:t>
      </w:r>
      <w:r>
        <w:t xml:space="preserve">, ALG-22), riformulazione turnover in </w:t>
      </w:r>
      <w:r>
        <w:rPr>
          <w:rFonts w:ascii="Consolas" w:cs="Consolas" w:eastAsia="Consolas" w:hAnsi="Consolas"/>
        </w:rPr>
        <w:t xml:space="preserve">optimizer.py</w:t>
      </w:r>
      <w:r>
        <w:t xml:space="preserve"> (</w:t>
      </w:r>
      <w:r>
        <w:rPr>
          <w:rFonts w:ascii="Consolas" w:cs="Consolas" w:eastAsia="Consolas" w:hAnsi="Consolas"/>
        </w:rPr>
        <w:t xml:space="preserve">_ottimizza_con_turnover</w:t>
      </w:r>
      <w:r>
        <w:t xml:space="preserve">, ALG-23). Test per ciascun vincolo in </w:t>
      </w:r>
      <w:r>
        <w:rPr>
          <w:rFonts w:ascii="Consolas" w:cs="Consolas" w:eastAsia="Consolas" w:hAnsi="Consolas"/>
        </w:rPr>
        <w:t xml:space="preserve">tests/test_optimization.py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17. Frontiera efficiente</w:t>
      </w:r>
    </w:p>
    <w:p>
      <w:pPr>
        <w:spacing w:after="120"/>
        <w:jc w:val="both"/>
      </w:pPr>
      <w:r>
        <w:rPr>
          <w:b/>
          <w:bCs/>
        </w:rPr>
        <w:t xml:space="preserve">Metodo di generazione.</w:t>
      </w:r>
      <w:r>
        <w:t xml:space="preserve"> La frontiera si costruisce minimizzando la varianza a rendimenti target crescenti, dal minimo al massimo rendimento atteso delle asset class. Ogni punto è un'ottimizzazione vincolata; i target non fattibili sotto i vincoli sono semplicemente esclusi.</w:t>
      </w:r>
    </w:p>
    <w:p>
      <w:pPr>
        <w:spacing w:after="120"/>
        <w:jc w:val="both"/>
      </w:pPr>
      <w:r>
        <w:rPr>
          <w:b/>
          <w:bCs/>
        </w:rPr>
        <w:t xml:space="preserve">Informazioni per punto.</w:t>
      </w:r>
      <w:r>
        <w:t xml:space="preserve"> Per ciascun punto efficiente lo strumento espone rendimento, volatilità, pesi, e — nel contesto della pagina — il confronto con la AAS vigente. Il punto ottimizzato selezionato è evidenziato sulla curva.</w:t>
      </w:r>
    </w:p>
    <w:p>
      <w:pPr>
        <w:spacing w:after="120"/>
        <w:jc w:val="both"/>
      </w:pPr>
      <w:r>
        <w:rPr>
          <w:b/>
          <w:bCs/>
        </w:rPr>
        <w:t xml:space="preserve">Interpretazione.</w:t>
      </w:r>
      <w:r>
        <w:t xml:space="preserve"> La frontiera mostra il miglior rendimento atteso per ogni livello di rischio sotto i vincoli correnti. La presenza di vincoli (liquidità, illiquidità, bande) sposta e accorcia la frontiera rispetto al caso non vincolato: è corretto che alcuni target risultino irraggiungibili.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optimization/efficient_frontier.py</w:t>
      </w:r>
      <w:r>
        <w:t xml:space="preserve"> (</w:t>
      </w:r>
      <w:r>
        <w:rPr>
          <w:rFonts w:ascii="Consolas" w:cs="Consolas" w:eastAsia="Consolas" w:hAnsi="Consolas"/>
        </w:rPr>
        <w:t xml:space="preserve">frontiera_efficiente</w:t>
      </w:r>
      <w:r>
        <w:t xml:space="preserve">, ALG-24). Test in </w:t>
      </w:r>
      <w:r>
        <w:rPr>
          <w:rFonts w:ascii="Consolas" w:cs="Consolas" w:eastAsia="Consolas" w:hAnsi="Consolas"/>
        </w:rPr>
        <w:t xml:space="preserve">tests/test_optimization.py</w:t>
      </w:r>
      <w:r>
        <w:t xml:space="preserve">: monotonìa della volatilità rispetto al rendimento sui punti efficienti.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18. Infeasibilità e diagnostica</w:t>
      </w:r>
    </w:p>
    <w:p>
      <w:pPr>
        <w:spacing w:after="120"/>
        <w:jc w:val="both"/>
      </w:pPr>
      <w:r>
        <w:rPr>
          <w:b/>
          <w:bCs/>
        </w:rPr>
        <w:t xml:space="preserve">Principio.</w:t>
      </w:r>
      <w:r>
        <w:t xml:space="preserve"> Quando i vincoli sono incompatibili, lo strumento </w:t>
      </w:r>
      <w:r>
        <w:rPr>
          <w:b/>
          <w:bCs/>
        </w:rPr>
        <w:t xml:space="preserve">non restituisce pesi apparentemente validi</w:t>
      </w:r>
      <w:r>
        <w:t xml:space="preserve">: segnala il fallimento e ne diagnostica le cause (DEC, sezione 5.7 del piano).</w:t>
      </w:r>
    </w:p>
    <w:p>
      <w:pPr>
        <w:spacing w:after="120"/>
        <w:jc w:val="both"/>
      </w:pPr>
      <w:r>
        <w:rPr>
          <w:b/>
          <w:bCs/>
        </w:rPr>
        <w:t xml:space="preserve">Comportamento del solver.</w:t>
      </w:r>
      <w:r>
        <w:t xml:space="preserve"> Se SLSQP non converge a una soluzione fattibile, il risultato è marcato come non riuscito, con messaggio. Nessun peso viene proposto in questo caso.</w:t>
      </w:r>
    </w:p>
    <w:p>
      <w:pPr>
        <w:spacing w:after="120"/>
        <w:jc w:val="both"/>
      </w:pPr>
      <w:r>
        <w:rPr>
          <w:b/>
          <w:bCs/>
        </w:rPr>
        <w:t xml:space="preserve">Diagnostica.</w:t>
      </w:r>
      <w:r>
        <w:t xml:space="preserve"> La funzione di diagnostica risolve prima il problema con i soli vincoli di base (budget e bounds): se già questo fallisce, il problema è strutturalmente infeasible (ad esempio i bounds non permettono pesi che sommino a uno). Altrimenti aggiunge i vincoli uno alla volta e identifica quelli che, isolatamente, rendono il problema infeasible. Se ogni vincolo è singolarmente fattibile, segnala che l'infeasibilità nasce dalla loro combinazione e suggerisce di allentare i più stringenti.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optimization/efficient_frontier.py</w:t>
      </w:r>
      <w:r>
        <w:t xml:space="preserve"> (</w:t>
      </w:r>
      <w:r>
        <w:rPr>
          <w:rFonts w:ascii="Consolas" w:cs="Consolas" w:eastAsia="Consolas" w:hAnsi="Consolas"/>
        </w:rPr>
        <w:t xml:space="preserve">diagnostica_infeasibilita</w:t>
      </w:r>
      <w:r>
        <w:t xml:space="preserve">, ALG-25). Test in </w:t>
      </w:r>
      <w:r>
        <w:rPr>
          <w:rFonts w:ascii="Consolas" w:cs="Consolas" w:eastAsia="Consolas" w:hAnsi="Consolas"/>
        </w:rPr>
        <w:t xml:space="preserve">tests/test_optimization.py</w:t>
      </w:r>
      <w:r>
        <w:t xml:space="preserve">: un rendimento minimo superiore al massimo μ è correttamente diagnosticato come infeasible e non produce pesi.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19. Validazione dei dati</w:t>
      </w:r>
    </w:p>
    <w:p>
      <w:pPr>
        <w:spacing w:after="120"/>
        <w:jc w:val="both"/>
      </w:pPr>
      <w:r>
        <w:t xml:space="preserve">Lo strumento valida gli input e </w:t>
      </w:r>
      <w:r>
        <w:rPr>
          <w:b/>
          <w:bCs/>
        </w:rPr>
        <w:t xml:space="preserve">non corregge silenziosamente</w:t>
      </w:r>
      <w:r>
        <w:t xml:space="preserve"> dati invalidi.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Pesi</w:t>
      </w:r>
      <w:r>
        <w:t xml:space="preserve">: devono sommare a uno entro tolleranza (1e-6); verificato alla costruzione della</w:t>
      </w:r>
    </w:p>
    <w:p>
      <w:pPr>
        <w:spacing w:after="120"/>
        <w:jc w:val="both"/>
      </w:pPr>
      <w:r>
        <w:t xml:space="preserve">  proposta.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Matrici di correlazione</w:t>
      </w:r>
      <w:r>
        <w:t xml:space="preserve">: simmetria, diagonale unitaria, valori in </w:t>
      </w:r>
      <w:r>
        <w:rPr>
          <w:i/>
          <w:iCs/>
        </w:rPr>
        <w:t xml:space="preserve">[-1, 1]</w:t>
      </w:r>
      <w:r>
        <w:t xml:space="preserve">,</w:t>
      </w:r>
    </w:p>
    <w:p>
      <w:pPr>
        <w:spacing w:after="120"/>
        <w:jc w:val="both"/>
      </w:pPr>
      <w:r>
        <w:t xml:space="preserve">  semi-definitezza positiva. La PSD è verificata tramite l'autovalore minimo con tolleranza   (DEC-011).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Nearest correlation (Higham)</w:t>
      </w:r>
      <w:r>
        <w:t xml:space="preserve">: se una matrice non è PSD, lo strumento può </w:t>
      </w:r>
      <w:r>
        <w:rPr>
          <w:b/>
          <w:bCs/>
        </w:rPr>
        <w:t xml:space="preserve">proporre</w:t>
      </w:r>
    </w:p>
    <w:p>
      <w:pPr>
        <w:spacing w:after="120"/>
        <w:jc w:val="both"/>
      </w:pPr>
      <w:r>
        <w:t xml:space="preserve">  la matrice valida più vicina, ma non la applica mai in automatico (DEC-006): la scelta   resta all'utente.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Rendimenti</w:t>
      </w:r>
      <w:r>
        <w:t xml:space="preserve">: non inferiori a -100% (un rendimento </w:t>
      </w:r>
      <w:r>
        <w:rPr>
          <w:i/>
          <w:iCs/>
        </w:rPr>
        <w:t xml:space="preserve">≤ -1</w:t>
      </w:r>
      <w:r>
        <w:t xml:space="preserve"> azzererebbe il capitale).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Coerenza di unità e frequenza</w:t>
      </w:r>
      <w:r>
        <w:t xml:space="preserve">: tutti gli input nella stessa unità (decimali annui); le</w:t>
      </w:r>
    </w:p>
    <w:p>
      <w:pPr>
        <w:spacing w:after="120"/>
        <w:jc w:val="both"/>
      </w:pPr>
      <w:r>
        <w:t xml:space="preserve">  conversioni di frequenza sono esplicite.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Valori mancanti e coerenza proposta/CMA</w:t>
      </w:r>
      <w:r>
        <w:t xml:space="preserve">: la proposta deve riferirsi alle stesse asset</w:t>
      </w:r>
    </w:p>
    <w:p>
      <w:pPr>
        <w:spacing w:after="120"/>
        <w:jc w:val="both"/>
      </w:pPr>
      <w:r>
        <w:t xml:space="preserve">  class del set CMA.</w:t>
      </w:r>
    </w:p>
    <w:p>
      <w:pPr>
        <w:spacing w:after="120"/>
        <w:jc w:val="both"/>
      </w:pPr>
      <w:r>
        <w:rPr>
          <w:b/>
          <w:bCs/>
        </w:rPr>
        <w:t xml:space="preserve">Implementazione e test.</w:t>
      </w:r>
      <w:r>
        <w:t xml:space="preserve"> </w:t>
      </w:r>
      <w:r>
        <w:rPr>
          <w:rFonts w:ascii="Consolas" w:cs="Consolas" w:eastAsia="Consolas" w:hAnsi="Consolas"/>
        </w:rPr>
        <w:t xml:space="preserve">data/validation.py</w:t>
      </w:r>
      <w:r>
        <w:t xml:space="preserve"> (</w:t>
      </w:r>
      <w:r>
        <w:rPr>
          <w:rFonts w:ascii="Consolas" w:cs="Consolas" w:eastAsia="Consolas" w:hAnsi="Consolas"/>
        </w:rPr>
        <w:t xml:space="preserve">valida_psd</w:t>
      </w:r>
      <w:r>
        <w:t xml:space="preserve"> ALG-08, </w:t>
      </w:r>
      <w:r>
        <w:rPr>
          <w:rFonts w:ascii="Consolas" w:cs="Consolas" w:eastAsia="Consolas" w:hAnsi="Consolas"/>
        </w:rPr>
        <w:t xml:space="preserve">nearest_correlation_higham</w:t>
      </w:r>
      <w:r>
        <w:t xml:space="preserve"> ALG-09); validazioni Pydantic in </w:t>
      </w:r>
      <w:r>
        <w:rPr>
          <w:rFonts w:ascii="Consolas" w:cs="Consolas" w:eastAsia="Consolas" w:hAnsi="Consolas"/>
        </w:rPr>
        <w:t xml:space="preserve">domain/models.py</w:t>
      </w:r>
      <w:r>
        <w:t xml:space="preserve">. Test in </w:t>
      </w:r>
      <w:r>
        <w:rPr>
          <w:rFonts w:ascii="Consolas" w:cs="Consolas" w:eastAsia="Consolas" w:hAnsi="Consolas"/>
        </w:rPr>
        <w:t xml:space="preserve">tests/test_data.py</w:t>
      </w:r>
      <w:r>
        <w:t xml:space="preserve"> e </w:t>
      </w:r>
      <w:r>
        <w:rPr>
          <w:rFonts w:ascii="Consolas" w:cs="Consolas" w:eastAsia="Consolas" w:hAnsi="Consolas"/>
        </w:rPr>
        <w:t xml:space="preserve">tests/test_domain.py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20. Testing e validazione</w:t>
      </w:r>
    </w:p>
    <w:p>
      <w:pPr>
        <w:spacing w:after="120"/>
        <w:jc w:val="both"/>
      </w:pPr>
      <w:r>
        <w:rPr>
          <w:b/>
          <w:bCs/>
        </w:rPr>
        <w:t xml:space="preserve">Strategia.</w:t>
      </w:r>
      <w:r>
        <w:t xml:space="preserve"> Ogni algoritmo ha test con valori calcolati indipendentemente (a mano o per via analitica), oltre a test di convergenza, riproducibilità e casi limite. Le pagine sono coperte da smoke test che ne verificano il caricamento senza eccezioni. Un test architetturale verifica che nessuna formula quantitativa compaia nelle pagine.</w:t>
      </w:r>
    </w:p>
    <w:p>
      <w:pPr>
        <w:spacing w:after="120"/>
        <w:jc w:val="both"/>
      </w:pPr>
      <w:r>
        <w:rPr>
          <w:b/>
          <w:bCs/>
        </w:rPr>
        <w:t xml:space="preserve">Esiti.</w:t>
      </w:r>
      <w:r>
        <w:t xml:space="preserve"> Suite di </w:t>
      </w:r>
      <w:r>
        <w:rPr>
          <w:b/>
          <w:bCs/>
        </w:rPr>
        <w:t xml:space="preserve">114 test, tutti superati</w:t>
      </w:r>
      <w:r>
        <w:t xml:space="preserve">. Distribuzione: dominio (19), calcoli (18), dati (10), simulazioni (12), distribuzioni (7), percorsi (6), stress (8), ottimizzazione (14), reporting (3), pagine (2), integrazione (5).</w:t>
      </w:r>
    </w:p>
    <w:p>
      <w:pPr>
        <w:spacing w:after="120"/>
        <w:jc w:val="both"/>
      </w:pPr>
      <w:r>
        <w:rPr>
          <w:b/>
          <w:bCs/>
        </w:rPr>
        <w:t xml:space="preserve">Validazioni indipendenti principali.</w:t>
      </w:r>
      <w:r>
        <w:t xml:space="preserve"> Minima varianza = soluzione analitica; covarianza della t = Σ; perdita di stress = somma pesata degli shock; drawdown su serie nota; coerenza tra montante deterministico geometrico e mediana simulata.</w:t>
      </w:r>
    </w:p>
    <w:p>
      <w:pPr>
        <w:spacing w:after="120"/>
        <w:jc w:val="both"/>
      </w:pPr>
      <w:r>
        <w:rPr>
          <w:b/>
          <w:bCs/>
        </w:rPr>
        <w:t xml:space="preserve">Casi limite gestiti.</w:t>
      </w:r>
      <w:r>
        <w:t xml:space="preserve"> Matrice non fattorizzabile (fallback spettrale); montante non positivo nel rendimento geometrico (floor positivo, scenario classificato come shortfall); turnover non differenziabile (riformulazione a variabili ausiliarie); infeasibilità (nessun peso fittizio).</w:t>
      </w:r>
    </w:p>
    <w:p>
      <w:pPr>
        <w:spacing w:after="120"/>
        <w:jc w:val="both"/>
      </w:pPr>
      <w:r>
        <w:rPr>
          <w:b/>
          <w:bCs/>
        </w:rPr>
        <w:t xml:space="preserve">Tolleranze.</w:t>
      </w:r>
      <w:r>
        <w:t xml:space="preserve"> Confronti analitici 1e-4…1e-6; convergenza Monte Carlo 2e-3…5e-3 su 0,5–1 M campioni; SLSQP ftol 1e-9. Dettaglio in </w:t>
      </w:r>
      <w:r>
        <w:rPr>
          <w:rFonts w:ascii="Consolas" w:cs="Consolas" w:eastAsia="Consolas" w:hAnsi="Consolas"/>
        </w:rPr>
        <w:t xml:space="preserve">VALIDATION_REPORT.md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21. Rischio di modello</w:t>
      </w:r>
    </w:p>
    <w:p>
      <w:pPr>
        <w:spacing w:after="120"/>
        <w:jc w:val="both"/>
      </w:pPr>
      <w:r>
        <w:t xml:space="preserve">Lo strumento è un modello, e come ogni modello ha limiti che è doveroso esplicitare.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Rischio di stima e dipendenza dalle CMA</w:t>
      </w:r>
      <w:r>
        <w:t xml:space="preserve">: gli output sono condizionati alle CMA; errori</w:t>
      </w:r>
    </w:p>
    <w:p>
      <w:pPr>
        <w:spacing w:after="120"/>
        <w:jc w:val="both"/>
      </w:pPr>
      <w:r>
        <w:t xml:space="preserve">  nelle stime, soprattutto dei rendimenti attesi, si propagano. L'ottimizzazione   media-varianza è notoriamente sensibile a μ.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Instabilità delle correlazioni e rischio di regime</w:t>
      </w:r>
      <w:r>
        <w:t xml:space="preserve">: le correlazioni non sono stabili e</w:t>
      </w:r>
    </w:p>
    <w:p>
      <w:pPr>
        <w:spacing w:after="120"/>
        <w:jc w:val="both"/>
      </w:pPr>
      <w:r>
        <w:t xml:space="preserve">  tendono ad aumentare nelle crisi; un singolo set di CMA non cattura i cambi di regime.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Non-normalità</w:t>
      </w:r>
      <w:r>
        <w:t xml:space="preserve">: la normale sottostima le code. La t mitiga ma resta un modello</w:t>
      </w:r>
    </w:p>
    <w:p>
      <w:pPr>
        <w:spacing w:after="120"/>
        <w:jc w:val="both"/>
      </w:pPr>
      <w:r>
        <w:t xml:space="preserve">  parametrico simmetrico.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Rischio di liquidità e valorizzazione degli illiquidi</w:t>
      </w:r>
      <w:r>
        <w:t xml:space="preserve">: i private markets hanno</w:t>
      </w:r>
    </w:p>
    <w:p>
      <w:pPr>
        <w:spacing w:after="120"/>
        <w:jc w:val="both"/>
      </w:pPr>
      <w:r>
        <w:t xml:space="preserve">  valorizzazioni ritardate e lisciate; la loro volatilità "vera" è verosimilmente   sottostimata dalle CMA.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Falsa precisione e instabilità dell'ottimizzazione</w:t>
      </w:r>
      <w:r>
        <w:t xml:space="preserve">: piccole variazioni negli input</w:t>
      </w:r>
    </w:p>
    <w:p>
      <w:pPr>
        <w:spacing w:after="120"/>
        <w:jc w:val="both"/>
      </w:pPr>
      <w:r>
        <w:t xml:space="preserve">  possono spostare molto i pesi ottimi; l'arrotondamento e i vincoli mitigano, non   eliminano.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Dipendenza dai vincoli</w:t>
      </w:r>
      <w:r>
        <w:t xml:space="preserve">: i risultati riflettono i vincoli imposti; vincoli mal calibrati</w:t>
      </w:r>
    </w:p>
    <w:p>
      <w:pPr>
        <w:spacing w:after="120"/>
        <w:jc w:val="both"/>
      </w:pPr>
      <w:r>
        <w:t xml:space="preserve">  producono soluzioni mal calibrate.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Rischio di interpretazione</w:t>
      </w:r>
      <w:r>
        <w:t xml:space="preserve">: gli output sono supporti decisionali, non prescrizioni.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Rischio operativo</w:t>
      </w:r>
      <w:r>
        <w:t xml:space="preserve">: dati demo da sostituire, parametri provvisori da validare.</w:t>
      </w:r>
    </w:p>
    <w:p>
      <w:pPr>
        <w:spacing w:after="120"/>
        <w:jc w:val="both"/>
      </w:pPr>
      <w:r>
        <w:t xml:space="preserve">Le mitigazioni adottate (vincoli, t a code spesse, stress test, frontiera, diagnostica di infeasibilità, arrotondamento, separazione calcolo/decisione) riducono questi rischi ma non li annullano.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22. Governance del modello</w:t>
      </w:r>
    </w:p>
    <w:p>
      <w:pPr>
        <w:spacing w:after="120"/>
        <w:jc w:val="both"/>
      </w:pPr>
      <w:r>
        <w:rPr>
          <w:b/>
          <w:bCs/>
        </w:rPr>
        <w:t xml:space="preserve">Responsabilità e uso.</w:t>
      </w:r>
      <w:r>
        <w:t xml:space="preserve"> Lo strumento è un supporto tecnico; le decisioni di asset allocation competono agli organi del Fondo. La Funzione Gestione dei Rischi valida i parametri (in particolare DEC-001 e DEC-002), interpreta gli output e ne presidia i limiti.</w:t>
      </w:r>
    </w:p>
    <w:p>
      <w:pPr>
        <w:spacing w:after="120"/>
        <w:jc w:val="both"/>
      </w:pPr>
      <w:r>
        <w:rPr>
          <w:b/>
          <w:bCs/>
        </w:rPr>
        <w:t xml:space="preserve">Approvazione e versionamento.</w:t>
      </w:r>
      <w:r>
        <w:t xml:space="preserve"> Il codice è versionato su Git con tag per le versioni stabili (DEC-010). Le decisioni metodologiche sono registrate in </w:t>
      </w:r>
      <w:r>
        <w:rPr>
          <w:rFonts w:ascii="Consolas" w:cs="Consolas" w:eastAsia="Consolas" w:hAnsi="Consolas"/>
        </w:rPr>
        <w:t xml:space="preserve">DECISIONS.md</w:t>
      </w:r>
      <w:r>
        <w:t xml:space="preserve">; gli algoritmi in </w:t>
      </w:r>
      <w:r>
        <w:rPr>
          <w:rFonts w:ascii="Consolas" w:cs="Consolas" w:eastAsia="Consolas" w:hAnsi="Consolas"/>
        </w:rPr>
        <w:t xml:space="preserve">ALGORITHM_REGISTER.md</w:t>
      </w:r>
      <w:r>
        <w:t xml:space="preserve">; la validazione in </w:t>
      </w:r>
      <w:r>
        <w:rPr>
          <w:rFonts w:ascii="Consolas" w:cs="Consolas" w:eastAsia="Consolas" w:hAnsi="Consolas"/>
        </w:rPr>
        <w:t xml:space="preserve">VALIDATION_REPORT.md</w:t>
      </w:r>
      <w:r>
        <w:t xml:space="preserve">.</w:t>
      </w:r>
    </w:p>
    <w:p>
      <w:pPr>
        <w:spacing w:after="120"/>
        <w:jc w:val="both"/>
      </w:pPr>
      <w:r>
        <w:rPr>
          <w:b/>
          <w:bCs/>
        </w:rPr>
        <w:t xml:space="preserve">Revisione periodica e gestione delle modifiche.</w:t>
      </w:r>
      <w:r>
        <w:t xml:space="preserve"> CMA, parametri e scenari vanno rivisti periodicamente. Ogni modifica metodologica dovrebbe passare per il registro delle decisioni e per i test.</w:t>
      </w:r>
    </w:p>
    <w:p>
      <w:pPr>
        <w:spacing w:after="120"/>
        <w:jc w:val="both"/>
      </w:pPr>
      <w:r>
        <w:rPr>
          <w:b/>
          <w:bCs/>
        </w:rPr>
        <w:t xml:space="preserve">Separazione tra calcolo e decisione.</w:t>
      </w:r>
      <w:r>
        <w:t xml:space="preserve"> L'architettura separa i motori di calcolo dall'interfaccia e, concettualmente, il calcolo dalla decisione: lo strumento fornisce evidenze, gli organi decidono.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23. Utilizzo nel processo DPI</w:t>
      </w:r>
    </w:p>
    <w:p>
      <w:pPr>
        <w:spacing w:after="120"/>
        <w:jc w:val="both"/>
      </w:pPr>
      <w:r>
        <w:t xml:space="preserve">Lo strumento supporta il processo del DPI in più punti: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Definizione degli obiettivi</w:t>
      </w:r>
      <w:r>
        <w:t xml:space="preserve">: traduce gli obiettivi di comparto in metriche verificabili</w:t>
      </w:r>
    </w:p>
    <w:p>
      <w:pPr>
        <w:spacing w:after="120"/>
        <w:jc w:val="both"/>
      </w:pPr>
      <w:r>
        <w:t xml:space="preserve">  (rendimento reale atteso, probabilità di shortfall).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Verifica della AAS</w:t>
      </w:r>
      <w:r>
        <w:t xml:space="preserve">: calcola metriche e simula l'AAS vigente, evidenziando contributi al</w:t>
      </w:r>
    </w:p>
    <w:p>
      <w:pPr>
        <w:spacing w:after="120"/>
        <w:jc w:val="both"/>
      </w:pPr>
      <w:r>
        <w:t xml:space="preserve">  rischio e tenuta sotto stress.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Confronto tra proposte</w:t>
      </w:r>
      <w:r>
        <w:t xml:space="preserve">: mette a confronto allocazioni alternative su rendimento,</w:t>
      </w:r>
    </w:p>
    <w:p>
      <w:pPr>
        <w:spacing w:after="120"/>
        <w:jc w:val="both"/>
      </w:pPr>
      <w:r>
        <w:t xml:space="preserve">  rischio, shortfall, turnover.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Analisi di shortfall e stress</w:t>
      </w:r>
      <w:r>
        <w:t xml:space="preserve">: quantifica il rischio di mancare l'obiettivo e l'impatto</w:t>
      </w:r>
    </w:p>
    <w:p>
      <w:pPr>
        <w:spacing w:after="120"/>
        <w:jc w:val="both"/>
      </w:pPr>
      <w:r>
        <w:t xml:space="preserve">  di scenari avversi.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Motivazione delle modifiche e allegati tecnici</w:t>
      </w:r>
      <w:r>
        <w:t xml:space="preserve">: produce evidenze esportabili a supporto</w:t>
      </w:r>
    </w:p>
    <w:p>
      <w:pPr>
        <w:spacing w:after="120"/>
        <w:jc w:val="both"/>
      </w:pPr>
      <w:r>
        <w:t xml:space="preserve">  della documentazione.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Tracciabilità</w:t>
      </w:r>
      <w:r>
        <w:t xml:space="preserve">: rende le elaborazioni ripetibili (seed, parametri, versione del codice).</w:t>
      </w:r>
    </w:p>
    <w:p>
      <w:pPr>
        <w:spacing w:after="120"/>
        <w:jc w:val="both"/>
      </w:pPr>
      <w:r>
        <w:t xml:space="preserve">Lo strumento </w:t>
      </w:r>
      <w:r>
        <w:rPr>
          <w:b/>
          <w:bCs/>
        </w:rPr>
        <w:t xml:space="preserve">supporta</w:t>
      </w:r>
      <w:r>
        <w:t xml:space="preserve"> il processo; </w:t>
      </w:r>
      <w:r>
        <w:rPr>
          <w:b/>
          <w:bCs/>
        </w:rPr>
        <w:t xml:space="preserve">non sostituisce</w:t>
      </w:r>
      <w:r>
        <w:t xml:space="preserve"> le decisioni degli organi, la validazione normativa né il giudizio professionale.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24. Esempio numerico completo</w:t>
      </w:r>
    </w:p>
    <w:p>
      <w:pPr>
        <w:spacing w:after="120"/>
        <w:jc w:val="both"/>
      </w:pPr>
      <w:r>
        <w:t xml:space="preserve">Esempio interamente riproducibile con i dati demo e seed fissato (seed 42, 10.000 simulazioni, orizzonte 15 anni, inflazione 2%). I valori provengono dall'esecuzione del codice definitivo.</w:t>
      </w:r>
    </w:p>
    <w:p>
      <w:pPr>
        <w:spacing w:after="120"/>
        <w:jc w:val="both"/>
      </w:pPr>
      <w:r>
        <w:rPr>
          <w:b/>
          <w:bCs/>
        </w:rPr>
        <w:t xml:space="preserve">Asset class (demo).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Asset class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μ (nom.)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σ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costo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illiquida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Liquidità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0,10%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Govt EUR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0,15%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Corporate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0,25%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Equity DM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16,0%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0,30%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Equity EM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8,5%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22,0%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0,50%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 assets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5,5%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0,60%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Private markets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18,0%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1,50%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sì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AAS vigente (demo):</w:t>
      </w:r>
      <w:r>
        <w:t xml:space="preserve"> Liquidità 5%, Govt EUR 30%, Corporate 15%, Equity DM 25%, Equity EM 10%, Real assets 5%, Private markets 10%.</w:t>
      </w:r>
    </w:p>
    <w:p>
      <w:pPr>
        <w:spacing w:after="120"/>
        <w:jc w:val="both"/>
      </w:pPr>
      <w:r>
        <w:rPr>
          <w:b/>
          <w:bCs/>
        </w:rPr>
        <w:t xml:space="preserve">Metriche deterministiche (orizzonte 15 anni, inflazione 2%).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Rendimento nominale atteso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5,38%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Rendimento reale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2,92%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Rendimento reale geometrico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2,58%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Volatilità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8,34%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Montante reale atteso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1,4645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Quota illiquida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10,0%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/>
          <w:bCs/>
        </w:rPr>
        <w:t xml:space="preserve">Simulazione (seed 42, 10.000 scenari, 15 anni).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Distribuzione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P(shortfall)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VaR (95%)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Expected Shortfall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Max DD mediano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Mediana montante reale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10,85%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12,31%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22,95%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-10,98%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1,4689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 di Student (ν=5)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10,46%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12,55%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25,69%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-9,90%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1,4713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Due osservazioni metodologiche. Primo: la </w:t>
      </w:r>
      <w:r>
        <w:rPr>
          <w:b/>
          <w:bCs/>
        </w:rPr>
        <w:t xml:space="preserve">mediana del montante reale simulato</w:t>
      </w:r>
      <w:r>
        <w:t xml:space="preserve"> (1,4689 normale; 1,4713 t) coincide quasi esattamente con il </w:t>
      </w:r>
      <w:r>
        <w:rPr>
          <w:b/>
          <w:bCs/>
        </w:rPr>
        <w:t xml:space="preserve">montante deterministico geometrico</w:t>
      </w:r>
      <w:r>
        <w:t xml:space="preserve"> (1,4645), conferma della coerenza interna tra il calcolo deterministico e la simulazione. Secondo: a parità di probabilità di shortfall simili, l'</w:t>
      </w:r>
      <w:r>
        <w:rPr>
          <w:b/>
          <w:bCs/>
        </w:rPr>
        <w:t xml:space="preserve">Expected Shortfall sotto la t è più alto</w:t>
      </w:r>
      <w:r>
        <w:t xml:space="preserve"> (25,69% contro 22,95%): è la coda, non il centro della distribuzione, a cambiare. È la dimostrazione quantitativa del fatto che la normale sottostima il rischio di eventi estremi — il rischio che più conta in ottica previdenziale.</w:t>
      </w:r>
    </w:p>
    <w:p>
      <w:pPr>
        <w:spacing w:after="120"/>
        <w:jc w:val="both"/>
      </w:pPr>
      <w:r>
        <w:rPr>
          <w:b/>
          <w:bCs/>
        </w:rPr>
        <w:t xml:space="preserve">Stress test (scenario combinato).</w:t>
      </w:r>
      <w:r>
        <w:t xml:space="preserve"> Perdita complessiva -14,72%; nuovo valore 0,8528; quota illiquida post-shock 9,38% (scende perché gli illiquidi sono colpiti più del resto).</w:t>
      </w:r>
    </w:p>
    <w:p>
      <w:pPr>
        <w:spacing w:after="120"/>
        <w:jc w:val="both"/>
      </w:pPr>
      <w:r>
        <w:rPr>
          <w:b/>
          <w:bCs/>
        </w:rPr>
        <w:t xml:space="preserve">Ottimizzazione (vincoli del comparto demo, confronto con AAS vigente).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Obiettivo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Rendimento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Volatilità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Turnover vs vigente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Minima varianza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2,98%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3,44%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1,08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Massimo rendimento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7,35%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14,91%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0,90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Massimo Sharpe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3,46%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3,71%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0,82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Il portafoglio a minima varianza riduce drasticamente la volatilità (dal 8,34% al 3,44%) ma con un turnover elevato rispetto alla vigente: un esempio del trade-off che il DPI deve valutare, non un'indicazione operativa.</w:t>
      </w:r>
    </w:p>
    <w:p>
      <w:pPr>
        <w:pBdr>
          <w:left w:val="single" w:color="C0392B" w:sz="18" w:space="12"/>
        </w:pBdr>
        <w:spacing w:after="120" w:before="120"/>
        <w:ind w:left="360"/>
      </w:pPr>
      <w:r>
        <w:rPr>
          <w:i/>
          <w:iCs/>
        </w:rPr>
        <w:t xml:space="preserve">I numeri sopra derivano da </w:t>
      </w:r>
      <w:r>
        <w:rPr>
          <w:b/>
          <w:bCs/>
          <w:i/>
          <w:iCs/>
        </w:rPr>
        <w:t xml:space="preserve">dati dimostrativi</w:t>
      </w:r>
      <w:r>
        <w:rPr>
          <w:i/>
          <w:iCs/>
        </w:rPr>
        <w:t xml:space="preserve"> e da </w:t>
      </w:r>
      <w:r>
        <w:rPr>
          <w:b/>
          <w:bCs/>
          <w:i/>
          <w:iCs/>
        </w:rPr>
        <w:t xml:space="preserve">parametri provvisori</w:t>
      </w:r>
      <w:r>
        <w:rPr>
          <w:i/>
          <w:iCs/>
        </w:rPr>
        <w:t xml:space="preserve">. Servono a illustrare il funzionamento dello strumento, non a orientare scelte reali.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25. Manuale di lettura degli output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Rendimenti</w:t>
      </w:r>
      <w:r>
        <w:t xml:space="preserve">: salvo diversa indicazione, i risultati di simulazione sono in termini</w:t>
      </w:r>
    </w:p>
    <w:p>
      <w:pPr>
        <w:spacing w:after="120"/>
        <w:jc w:val="both"/>
      </w:pPr>
      <w:r>
        <w:t xml:space="preserve">  </w:t>
      </w:r>
      <w:r>
        <w:rPr>
          <w:b/>
          <w:bCs/>
        </w:rPr>
        <w:t xml:space="preserve">reali</w:t>
      </w:r>
      <w:r>
        <w:t xml:space="preserve"> (potere d'acquisto) e </w:t>
      </w:r>
      <w:r>
        <w:rPr>
          <w:b/>
          <w:bCs/>
        </w:rPr>
        <w:t xml:space="preserve">geometrici</w:t>
      </w:r>
      <w:r>
        <w:t xml:space="preserve"> su orizzonte pluriennale; le metriche   deterministiche distinguono nominale e reale.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Probabilità di shortfall</w:t>
      </w:r>
      <w:r>
        <w:t xml:space="preserve">: dipende dalla </w:t>
      </w:r>
      <w:r>
        <w:rPr>
          <w:b/>
          <w:bCs/>
        </w:rPr>
        <w:t xml:space="preserve">definizione</w:t>
      </w:r>
      <w:r>
        <w:t xml:space="preserve"> di shortfall selezionata</w:t>
      </w:r>
    </w:p>
    <w:p>
      <w:pPr>
        <w:spacing w:after="120"/>
        <w:jc w:val="both"/>
      </w:pPr>
      <w:r>
        <w:t xml:space="preserve">  (provvisoria); va letta insieme all'entità media, non da sola.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VaR ed Expected Shortfall</w:t>
      </w:r>
      <w:r>
        <w:t xml:space="preserve">: misure di rischio di mercato sulla perdita, al livello di</w:t>
      </w:r>
    </w:p>
    <w:p>
      <w:pPr>
        <w:spacing w:after="120"/>
        <w:jc w:val="both"/>
      </w:pPr>
      <w:r>
        <w:t xml:space="preserve">  confidenza scelto; non vanno confuse con lo shortfall previdenziale.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Stress test</w:t>
      </w:r>
      <w:r>
        <w:t xml:space="preserve">: scenari "what-if" deterministici, </w:t>
      </w:r>
      <w:r>
        <w:rPr>
          <w:b/>
          <w:bCs/>
        </w:rPr>
        <w:t xml:space="preserve">non probabilità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Ottimizzazione</w:t>
      </w:r>
      <w:r>
        <w:t xml:space="preserve">: i pesi proposti riflettono obiettivo e vincoli impostati; vanno</w:t>
      </w:r>
    </w:p>
    <w:p>
      <w:pPr>
        <w:spacing w:after="120"/>
        <w:jc w:val="both"/>
      </w:pPr>
      <w:r>
        <w:t xml:space="preserve">  confrontati con la AAS vigente e valutati per turnover e robustezza, evitando di   interpretare cifre decimali come precise.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Errori interpretativi da evitare</w:t>
      </w:r>
      <w:r>
        <w:t xml:space="preserve">: leggere la volatilità come unica misura di rischio;</w:t>
      </w:r>
    </w:p>
    <w:p>
      <w:pPr>
        <w:spacing w:after="120"/>
        <w:jc w:val="both"/>
      </w:pPr>
      <w:r>
        <w:t xml:space="preserve">  trattare le CMA come certezze; considerare l'output dell'ottimizzatore come una   prescrizione; ignorare il rischio di coda perché "la media va bene".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26. Glossario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AAS</w:t>
      </w:r>
      <w:r>
        <w:t xml:space="preserve"> — Asset Allocation Strategica: ripartizione di lungo periodo tra classi di</w:t>
      </w:r>
    </w:p>
    <w:p>
      <w:pPr>
        <w:spacing w:after="120"/>
        <w:jc w:val="both"/>
      </w:pPr>
      <w:r>
        <w:t xml:space="preserve">  attivo.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CMA</w:t>
      </w:r>
      <w:r>
        <w:t xml:space="preserve"> — Capital Market Assumptions: ipotesi prospettiche su rendimenti, volatilità,</w:t>
      </w:r>
    </w:p>
    <w:p>
      <w:pPr>
        <w:spacing w:after="120"/>
        <w:jc w:val="both"/>
      </w:pPr>
      <w:r>
        <w:t xml:space="preserve">  correlazioni.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Covarianza</w:t>
      </w:r>
      <w:r>
        <w:t xml:space="preserve"> — misura congiunta di variabilità di due asset; in forma matriciale 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Correlazione</w:t>
      </w:r>
      <w:r>
        <w:t xml:space="preserve"> — covarianza normalizzata, in </w:t>
      </w:r>
      <w:r>
        <w:rPr>
          <w:i/>
          <w:iCs/>
        </w:rPr>
        <w:t xml:space="preserve">[-1, 1]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</w:t>
      </w:r>
      <w:r>
        <w:t xml:space="preserve"> — Value at Risk: quantile della perdita a un livello di confidenza.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Shortfall</w:t>
      </w:r>
      <w:r>
        <w:t xml:space="preserve"> — perdita media oltre il VaR (rischio di coda).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Shortfall previdenziale</w:t>
      </w:r>
      <w:r>
        <w:t xml:space="preserve"> — rischio di mancare un obiettivo (probabilità ed entità).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Drawdown</w:t>
      </w:r>
      <w:r>
        <w:t xml:space="preserve"> — caduta dal massimo precedente lungo un percorso.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</w:t>
      </w:r>
      <w:r>
        <w:t xml:space="preserve"> — sensibilità del prezzo obbligazionario al tasso.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Convexity</w:t>
      </w:r>
      <w:r>
        <w:t xml:space="preserve"> — correzione del secondo ordine alla duration.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Frontiera efficiente</w:t>
      </w:r>
      <w:r>
        <w:t xml:space="preserve"> — migliori combinazioni rischio-rendimento sotto i vincoli.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Infeasibilità</w:t>
      </w:r>
      <w:r>
        <w:t xml:space="preserve"> — assenza di soluzioni che soddisfino tutti i vincoli.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Turnover</w:t>
      </w:r>
      <w:r>
        <w:t xml:space="preserve"> — entità della modifica rispetto alla AAS vigente, </w:t>
      </w:r>
      <w:r>
        <w:rPr>
          <w:i/>
          <w:iCs/>
        </w:rPr>
        <w:t xml:space="preserve">Σ_i|w_i-w_i^0|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Liquidità / Illiquidità</w:t>
      </w:r>
      <w:r>
        <w:t xml:space="preserve"> — quota investita in asset facilmente / difficilmente</w:t>
      </w:r>
    </w:p>
    <w:p>
      <w:pPr>
        <w:spacing w:after="120"/>
        <w:jc w:val="both"/>
      </w:pPr>
      <w:r>
        <w:t xml:space="preserve">  liquidabili.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</w:t>
      </w:r>
      <w:r>
        <w:t xml:space="preserve"> — inizializzazione del generatore casuale, garante della riproducibilità.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Percentile</w:t>
      </w:r>
      <w:r>
        <w:t xml:space="preserve"> — valore sotto cui cade una data percentuale degli scenari.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Ribilanciamento</w:t>
      </w:r>
      <w:r>
        <w:t xml:space="preserve"> — riporto periodico dei pesi ai valori target.</w:t>
      </w:r>
    </w:p>
    <w:p>
      <w:pPr>
        <w:pBdr>
          <w:bottom w:val="single" w:color="2E5A88" w:sz="6" w:space="1"/>
        </w:pBdr>
        <w:spacing w:after="60" w:before="60"/>
      </w:pPr>
    </w:p>
    <w:p>
      <w:pPr>
        <w:pStyle w:val="Heading1"/>
        <w:spacing w:before="240"/>
      </w:pPr>
      <w:r>
        <w:t xml:space="preserve">27. Appendici</w:t>
      </w:r>
    </w:p>
    <w:p>
      <w:pPr>
        <w:spacing w:after="120"/>
        <w:jc w:val="both"/>
      </w:pPr>
      <w:r>
        <w:rPr>
          <w:b/>
          <w:bCs/>
        </w:rPr>
        <w:t xml:space="preserve">A. Notazione.</w:t>
      </w:r>
      <w:r>
        <w:t xml:space="preserve"> </w:t>
      </w:r>
      <w:r>
        <w:rPr>
          <w:b/>
          <w:bCs/>
        </w:rPr>
        <w:t xml:space="preserve">w</w:t>
      </w:r>
      <w:r>
        <w:t xml:space="preserve"> pesi; </w:t>
      </w:r>
      <w:r>
        <w:rPr>
          <w:b/>
          <w:bCs/>
        </w:rPr>
        <w:t xml:space="preserve">μ</w:t>
      </w:r>
      <w:r>
        <w:t xml:space="preserve"> rendimenti attesi; Σ covarianza; </w:t>
      </w:r>
      <w:r>
        <w:rPr>
          <w:i/>
          <w:iCs/>
        </w:rPr>
        <w:t xml:space="preserve">C</w:t>
      </w:r>
      <w:r>
        <w:t xml:space="preserve"> correlazioni; </w:t>
      </w:r>
      <w:r>
        <w:rPr>
          <w:i/>
          <w:iCs/>
        </w:rPr>
        <w:t xml:space="preserve">D_σ</w:t>
      </w:r>
      <w:r>
        <w:t xml:space="preserve"> diagonale delle volatilità; π inflazione; </w:t>
      </w:r>
      <w:r>
        <w:rPr>
          <w:i/>
          <w:iCs/>
        </w:rPr>
        <w:t xml:space="preserve">L</w:t>
      </w:r>
      <w:r>
        <w:t xml:space="preserve"> fattore di Cholesky; ν gradi di libertà; </w:t>
      </w:r>
      <w:r>
        <w:rPr>
          <w:i/>
          <w:iCs/>
        </w:rPr>
        <w:t xml:space="preserve">r_f</w:t>
      </w:r>
      <w:r>
        <w:t xml:space="preserve"> risk free; </w:t>
      </w:r>
      <w:r>
        <w:rPr>
          <w:i/>
          <w:iCs/>
        </w:rPr>
        <w:t xml:space="preserve">w^0</w:t>
      </w:r>
      <w:r>
        <w:t xml:space="preserve"> AAS vigente.</w:t>
      </w:r>
    </w:p>
    <w:p>
      <w:pPr>
        <w:spacing w:after="120"/>
        <w:jc w:val="both"/>
      </w:pPr>
      <w:r>
        <w:rPr>
          <w:b/>
          <w:bCs/>
        </w:rPr>
        <w:t xml:space="preserve">B. Mapping formula–funzione–test.</w:t>
      </w:r>
      <w:r>
        <w:t xml:space="preserve"> Il collegamento completo tra requisiti, formule, moduli, funzioni, parametri, test e documentazione è nella </w:t>
      </w:r>
      <w:r>
        <w:rPr>
          <w:b/>
          <w:bCs/>
        </w:rPr>
        <w:t xml:space="preserve">matrice di tracciabilità</w:t>
      </w:r>
      <w:r>
        <w:t xml:space="preserve"> (</w:t>
      </w:r>
      <w:r>
        <w:rPr>
          <w:rFonts w:ascii="Consolas" w:cs="Consolas" w:eastAsia="Consolas" w:hAnsi="Consolas"/>
        </w:rPr>
        <w:t xml:space="preserve">TRACEABILITY_MATRIX.md</w:t>
      </w:r>
      <w:r>
        <w:t xml:space="preserve">). Il registro degli algoritmi (</w:t>
      </w:r>
      <w:r>
        <w:rPr>
          <w:rFonts w:ascii="Consolas" w:cs="Consolas" w:eastAsia="Consolas" w:hAnsi="Consolas"/>
        </w:rPr>
        <w:t xml:space="preserve">ALGORITHM_REGISTER.md</w:t>
      </w:r>
      <w:r>
        <w:t xml:space="preserve">) elenca i 25 algoritmi ALG-01…ALG-25 con formula, modulo, funzione, test e stato di validazione.</w:t>
      </w:r>
    </w:p>
    <w:p>
      <w:pPr>
        <w:spacing w:after="120"/>
        <w:jc w:val="both"/>
      </w:pPr>
      <w:r>
        <w:rPr>
          <w:b/>
          <w:bCs/>
        </w:rPr>
        <w:t xml:space="preserve">C. Stato delle metodologie.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Implementate e validate</w:t>
      </w:r>
      <w:r>
        <w:t xml:space="preserve">: metriche deterministiche; validazione PSD/Higham; Monte Carlo</w:t>
      </w:r>
    </w:p>
    <w:p>
      <w:pPr>
        <w:spacing w:after="120"/>
        <w:jc w:val="both"/>
      </w:pPr>
      <w:r>
        <w:t xml:space="preserve">  normale e t multivariata; percorsi multi-periodo; VaR, ES, shortfall, drawdown; stress   test (azionario, tassi, illiquidi, combinato); ottimizzazione (minima varianza, massimo   rendimento, massimo Sharpe, minimo rischio a target); vincoli; frontiera; diagnostica.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Previste, non implementate</w:t>
      </w:r>
      <w:r>
        <w:t xml:space="preserve">: shortfall optimization come obiettivo (DEC-017); shock di</w:t>
      </w:r>
    </w:p>
    <w:p>
      <w:pPr>
        <w:spacing w:after="120"/>
        <w:jc w:val="both"/>
      </w:pPr>
      <w:r>
        <w:t xml:space="preserve">  credito/spread espliciti e ribilanciamento infrannuale a bande (previsti   nell'architettura).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Escluse dal perimetro</w:t>
      </w:r>
      <w:r>
        <w:t xml:space="preserve">: solver esterni (cvxpy); autenticazione; persistenza su</w:t>
      </w:r>
    </w:p>
    <w:p>
      <w:pPr>
        <w:spacing w:after="120"/>
        <w:jc w:val="both"/>
      </w:pPr>
      <w:r>
        <w:t xml:space="preserve">  database; stima delle CMA da serie storiche.</w:t>
      </w:r>
    </w:p>
    <w:p>
      <w:pPr>
        <w:spacing w:after="120"/>
        <w:jc w:val="both"/>
      </w:pPr>
      <w:r>
        <w:rPr>
          <w:b/>
          <w:bCs/>
        </w:rPr>
        <w:t xml:space="preserve">D. Configurazioni demo.</w:t>
      </w:r>
      <w:r>
        <w:t xml:space="preserve"> Sette asset class etichettate [DEMO], un comparto demo, una matrice di correlazione demo. Da sostituire con i dati ufficiali validati.</w:t>
      </w:r>
    </w:p>
    <w:p>
      <w:pPr>
        <w:spacing w:after="120"/>
        <w:jc w:val="both"/>
      </w:pPr>
      <w:r>
        <w:rPr>
          <w:b/>
          <w:bCs/>
        </w:rPr>
        <w:t xml:space="preserve">E. Parametri configurabili.</w:t>
      </w:r>
      <w:r>
        <w:t xml:space="preserve"> Distribuzione, gradi di libertà, orizzonte, frequenza, numero di simulazioni, seed, inflazione, ribilanciamento, livello di confidenza VaR/ES, definizione di shortfall, shock di stress, obiettivo, vincoli (bounds, gruppi, liquidità, illiquidità, rendimento, volatilità, duration, valuta, turnover), tolleranze del solver.</w:t>
      </w:r>
    </w:p>
    <w:p>
      <w:pPr>
        <w:spacing w:after="120"/>
        <w:jc w:val="both"/>
      </w:pPr>
      <w:r>
        <w:rPr>
          <w:b/>
          <w:bCs/>
        </w:rPr>
        <w:t xml:space="preserve">F. Riferimenti documentali.</w:t>
      </w:r>
      <w:r>
        <w:t xml:space="preserve"> </w:t>
      </w:r>
      <w:r>
        <w:rPr>
          <w:rFonts w:ascii="Consolas" w:cs="Consolas" w:eastAsia="Consolas" w:hAnsi="Consolas"/>
        </w:rPr>
        <w:t xml:space="preserve">PROJECT_STATE.md</w:t>
      </w:r>
      <w:r>
        <w:t xml:space="preserve">, </w:t>
      </w:r>
      <w:r>
        <w:rPr>
          <w:rFonts w:ascii="Consolas" w:cs="Consolas" w:eastAsia="Consolas" w:hAnsi="Consolas"/>
        </w:rPr>
        <w:t xml:space="preserve">DECISIONS.md</w:t>
      </w:r>
      <w:r>
        <w:t xml:space="preserve">, </w:t>
      </w:r>
      <w:r>
        <w:rPr>
          <w:rFonts w:ascii="Consolas" w:cs="Consolas" w:eastAsia="Consolas" w:hAnsi="Consolas"/>
        </w:rPr>
        <w:t xml:space="preserve">TRACEABILITY_MATRIX.md</w:t>
      </w:r>
      <w:r>
        <w:t xml:space="preserve">, </w:t>
      </w:r>
      <w:r>
        <w:rPr>
          <w:rFonts w:ascii="Consolas" w:cs="Consolas" w:eastAsia="Consolas" w:hAnsi="Consolas"/>
        </w:rPr>
        <w:t xml:space="preserve">ALGORITHM_REGISTER.md</w:t>
      </w:r>
      <w:r>
        <w:t xml:space="preserve">, </w:t>
      </w:r>
      <w:r>
        <w:rPr>
          <w:rFonts w:ascii="Consolas" w:cs="Consolas" w:eastAsia="Consolas" w:hAnsi="Consolas"/>
        </w:rPr>
        <w:t xml:space="preserve">VALIDATION_REPORT.md</w:t>
      </w:r>
      <w:r>
        <w:t xml:space="preserve">, </w:t>
      </w:r>
      <w:r>
        <w:rPr>
          <w:rFonts w:ascii="Consolas" w:cs="Consolas" w:eastAsia="Consolas" w:hAnsi="Consolas"/>
        </w:rPr>
        <w:t xml:space="preserve">NOTE_METODOLOGICHE.md</w:t>
      </w:r>
      <w:r>
        <w:t xml:space="preserve">, </w:t>
      </w:r>
      <w:r>
        <w:rPr>
          <w:rFonts w:ascii="Consolas" w:cs="Consolas" w:eastAsia="Consolas" w:hAnsi="Consolas"/>
        </w:rPr>
        <w:t xml:space="preserve">MANUALE_UTENTE.md</w:t>
      </w:r>
      <w:r>
        <w:t xml:space="preserve">, </w:t>
      </w:r>
      <w:r>
        <w:rPr>
          <w:rFonts w:ascii="Consolas" w:cs="Consolas" w:eastAsia="Consolas" w:hAnsi="Consolas"/>
        </w:rPr>
        <w:t xml:space="preserve">MANUALE_METODOLOGICO.md</w:t>
      </w:r>
      <w:r>
        <w:t xml:space="preserve">, </w:t>
      </w:r>
      <w:r>
        <w:rPr>
          <w:rFonts w:ascii="Consolas" w:cs="Consolas" w:eastAsia="Consolas" w:hAnsi="Consolas"/>
        </w:rPr>
        <w:t xml:space="preserve">GLOSSARIO.md</w:t>
      </w:r>
      <w:r>
        <w:t xml:space="preserve">, </w:t>
      </w:r>
      <w:r>
        <w:rPr>
          <w:rFonts w:ascii="Consolas" w:cs="Consolas" w:eastAsia="Consolas" w:hAnsi="Consolas"/>
        </w:rPr>
        <w:t xml:space="preserve">CHANGELOG.md</w:t>
      </w:r>
      <w:r>
        <w:t xml:space="preserve">.</w:t>
      </w:r>
    </w:p>
    <w:p>
      <w:pPr>
        <w:pBdr>
          <w:bottom w:val="single" w:color="2E5A88" w:sz="6" w:space="1"/>
        </w:pBdr>
        <w:spacing w:after="60" w:before="60"/>
      </w:pPr>
    </w:p>
    <w:p>
      <w:pPr>
        <w:spacing w:after="120"/>
        <w:jc w:val="both"/>
      </w:pPr>
      <w:r>
        <w:rPr>
          <w:i/>
          <w:iCs/>
        </w:rPr>
        <w:t xml:space="preserve">Documento generato come sintesi metodologica del progetto DPI Wizard. Le metodologie qui descritte corrispondono al codice definitivo e ai relativi test. In caso di difformità tra questo documento e il codice, fa fede il comportamento del codice e la difformità va segnalata e corretta.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DPI Wizard — White Paper Metodologico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Paper Metodologico — DPI Wizard</dc:title>
  <dc:creator>DPI Wizard</dc:creator>
  <cp:lastModifiedBy>Un-named</cp:lastModifiedBy>
  <cp:revision>1</cp:revision>
  <dcterms:created xsi:type="dcterms:W3CDTF">2026-06-18T14:18:06.366Z</dcterms:created>
  <dcterms:modified xsi:type="dcterms:W3CDTF">2026-06-18T14:18:06.367Z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