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0D1B2A" w:val="clear"/>
            <w:tcMar>
              <w:top w:type="dxa" w:w="80"/>
              <w:left w:type="dxa" w:w="200"/>
              <w:bottom w:type="dxa" w:w="80"/>
              <w:right w:type="dxa" w:w="200"/>
            </w:tcMar>
            <w:vAlign w:val="top"/>
          </w:tcPr>
          <w:p>
            <w:pPr>
              <w:spacing w:after="20" w:before="0"/>
              <w:jc w:val="center"/>
            </w:pPr>
            <w:r>
              <w:rPr>
                <w:rFonts w:ascii="Arial" w:cs="Arial" w:eastAsia="Arial" w:hAnsi="Arial"/>
                <w:b/>
                <w:bCs/>
                <w:i w:val="false"/>
                <w:iCs w:val="false"/>
                <w:color w:val="FFFFFF"/>
                <w:sz w:val="18"/>
                <w:szCs w:val="18"/>
              </w:rPr>
              <w:t xml:space="preserve">COLEGIO SALESIANO NTR A. SRA. DEL PILAR · ZARAGOZA</w:t>
            </w:r>
          </w:p>
        </w:tc>
      </w:tr>
    </w:tbl>
    <w:p>
      <w:pPr>
        <w:spacing w:after="0" w:before="160"/>
      </w:pPr>
      <w:r>
        <w:t xml:space="preserve"> </w:t>
      </w:r>
    </w:p>
    <w:p>
      <w:pPr>
        <w:spacing w:after="40"/>
        <w:jc w:val="center"/>
      </w:pPr>
      <w:r>
        <w:rPr>
          <w:rFonts w:ascii="Arial" w:cs="Arial" w:eastAsia="Arial" w:hAnsi="Arial"/>
          <w:caps/>
          <w:color w:val="717171"/>
          <w:sz w:val="17"/>
          <w:szCs w:val="17"/>
        </w:rPr>
        <w:t xml:space="preserve">DOCUMENTO DE TRABAJO PARA EL EQUIPO DIRECTIVO Y LA TITULARIDAD</w:t>
      </w:r>
    </w:p>
    <w:p>
      <w:pPr>
        <w:spacing w:after="0" w:before="60"/>
      </w:pPr>
      <w:r>
        <w:t xml:space="preserve"> </w:t>
      </w:r>
    </w:p>
    <w:p>
      <w:pPr>
        <w:spacing w:after="80"/>
        <w:jc w:val="center"/>
      </w:pPr>
      <w:r>
        <w:rPr>
          <w:rFonts w:ascii="Georgia" w:cs="Georgia" w:eastAsia="Georgia" w:hAnsi="Georgia"/>
          <w:b/>
          <w:bCs/>
          <w:color w:val="0D1B2A"/>
          <w:sz w:val="52"/>
          <w:szCs w:val="52"/>
        </w:rPr>
        <w:t xml:space="preserve">La Casa en la Frontera</w:t>
      </w:r>
    </w:p>
    <w:p>
      <w:pPr>
        <w:spacing w:after="60"/>
        <w:jc w:val="center"/>
      </w:pPr>
      <w:r>
        <w:rPr>
          <w:rFonts w:ascii="Georgia" w:cs="Georgia" w:eastAsia="Georgia" w:hAnsi="Georgia"/>
          <w:i/>
          <w:iCs/>
          <w:color w:val="0B6157"/>
          <w:sz w:val="24"/>
          <w:szCs w:val="24"/>
        </w:rPr>
        <w:t xml:space="preserve">Análisis, interpretación y propuesta para el Colegio Salesiano NSP de Zaragoza en el horizonte 2026-2035</w:t>
      </w:r>
    </w:p>
    <w:p>
      <w:pPr>
        <w:spacing w:after="0" w:before="30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3006"/>
        <w:gridCol w:w="3006"/>
        <w:gridCol w:w="3006"/>
      </w:tblGrid>
      <w:tr>
        <w:tc>
          <w:tcPr>
            <w:tcW w:type="dxa" w:w="3006"/>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vAlign w:val="top"/>
          </w:tcPr>
          <w:p>
            <w:pPr>
              <w:spacing w:after="80" w:before="0"/>
              <w:jc w:val="center"/>
            </w:pPr>
            <w:r>
              <w:rPr>
                <w:rFonts w:ascii="Arial" w:cs="Arial" w:eastAsia="Arial" w:hAnsi="Arial"/>
                <w:b/>
                <w:bCs/>
                <w:i w:val="false"/>
                <w:iCs w:val="false"/>
                <w:color w:val="FFFFFF"/>
                <w:sz w:val="19"/>
                <w:szCs w:val="19"/>
              </w:rPr>
              <w:t xml:space="preserve">Análisis</w:t>
            </w:r>
          </w:p>
        </w:tc>
        <w:tc>
          <w:tcPr>
            <w:tcW w:type="dxa" w:w="3006"/>
            <w:tcBorders>
              <w:top w:val="none" w:color="FFFFFF" w:sz="0"/>
              <w:left w:val="none" w:color="FFFFFF" w:sz="0"/>
              <w:bottom w:val="none" w:color="FFFFFF" w:sz="0"/>
              <w:right w:val="none" w:color="FFFFFF" w:sz="0"/>
            </w:tcBorders>
            <w:shd w:fill="0B6157" w:val="clear"/>
            <w:tcMar>
              <w:top w:type="dxa" w:w="100"/>
              <w:left w:type="dxa" w:w="140"/>
              <w:bottom w:type="dxa" w:w="100"/>
              <w:right w:type="dxa" w:w="140"/>
            </w:tcMar>
            <w:vAlign w:val="top"/>
          </w:tcPr>
          <w:p>
            <w:pPr>
              <w:spacing w:after="80" w:before="0"/>
              <w:jc w:val="center"/>
            </w:pPr>
            <w:r>
              <w:rPr>
                <w:rFonts w:ascii="Arial" w:cs="Arial" w:eastAsia="Arial" w:hAnsi="Arial"/>
                <w:b/>
                <w:bCs/>
                <w:i w:val="false"/>
                <w:iCs w:val="false"/>
                <w:color w:val="FFFFFF"/>
                <w:sz w:val="19"/>
                <w:szCs w:val="19"/>
              </w:rPr>
              <w:t xml:space="preserve">Interpretación</w:t>
            </w:r>
          </w:p>
        </w:tc>
        <w:tc>
          <w:tcPr>
            <w:tcW w:type="dxa" w:w="3006"/>
            <w:tcBorders>
              <w:top w:val="none" w:color="FFFFFF" w:sz="0"/>
              <w:left w:val="none" w:color="FFFFFF" w:sz="0"/>
              <w:bottom w:val="none" w:color="FFFFFF" w:sz="0"/>
              <w:right w:val="none" w:color="FFFFFF" w:sz="0"/>
            </w:tcBorders>
            <w:shd w:fill="1A6B3A" w:val="clear"/>
            <w:tcMar>
              <w:top w:type="dxa" w:w="100"/>
              <w:left w:type="dxa" w:w="140"/>
              <w:bottom w:type="dxa" w:w="100"/>
              <w:right w:type="dxa" w:w="140"/>
            </w:tcMar>
            <w:vAlign w:val="top"/>
          </w:tcPr>
          <w:p>
            <w:pPr>
              <w:spacing w:after="80" w:before="0"/>
              <w:jc w:val="center"/>
            </w:pPr>
            <w:r>
              <w:rPr>
                <w:rFonts w:ascii="Arial" w:cs="Arial" w:eastAsia="Arial" w:hAnsi="Arial"/>
                <w:b/>
                <w:bCs/>
                <w:i w:val="false"/>
                <w:iCs w:val="false"/>
                <w:color w:val="FFFFFF"/>
                <w:sz w:val="19"/>
                <w:szCs w:val="19"/>
              </w:rPr>
              <w:t xml:space="preserve">Propuesta</w:t>
            </w:r>
          </w:p>
        </w:tc>
      </w:tr>
    </w:tbl>
    <w:p>
      <w:pPr>
        <w:spacing w:after="0" w:before="60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5200"/>
        <w:gridCol w:w="3820"/>
      </w:tblGrid>
      <w:tr>
        <w:tc>
          <w:tcPr>
            <w:tcW w:type="dxa" w:w="5200"/>
            <w:tcBorders>
              <w:top w:val="single" w:color="DDDDDD" w:sz="4"/>
              <w:left w:val="none" w:color="FFFFFF" w:sz="0"/>
              <w:bottom w:val="none" w:color="FFFFFF" w:sz="0"/>
              <w:right w:val="none" w:color="FFFFFF" w:sz="0"/>
            </w:tcBorders>
            <w:shd w:fill="FFFFFF" w:val="clear"/>
            <w:tcMar>
              <w:top w:type="dxa" w:w="60"/>
              <w:left w:type="dxa" w:w="140"/>
              <w:bottom w:type="dxa" w:w="60"/>
              <w:right w:type="dxa" w:w="140"/>
            </w:tcMar>
            <w:vAlign w:val="top"/>
          </w:tcPr>
          <w:p>
            <w:pPr>
              <w:spacing w:after="80" w:before="0"/>
              <w:jc w:val="left"/>
            </w:pPr>
            <w:r>
              <w:rPr>
                <w:rFonts w:ascii="Georgia" w:cs="Georgia" w:eastAsia="Georgia" w:hAnsi="Georgia"/>
                <w:b w:val="false"/>
                <w:bCs w:val="false"/>
                <w:i w:val="false"/>
                <w:iCs w:val="false"/>
                <w:caps w:val="false"/>
                <w:color w:val="717171"/>
                <w:sz w:val="17"/>
                <w:szCs w:val="17"/>
              </w:rPr>
              <w:t xml:space="preserve">Versión 1.1 revisada | Junio 2026</w:t>
            </w:r>
          </w:p>
          <w:p>
            <w:pPr>
              <w:spacing w:after="80" w:before="0"/>
              <w:jc w:val="left"/>
            </w:pPr>
            <w:r>
              <w:rPr>
                <w:rFonts w:ascii="Georgia" w:cs="Georgia" w:eastAsia="Georgia" w:hAnsi="Georgia"/>
                <w:b w:val="false"/>
                <w:bCs w:val="false"/>
                <w:i/>
                <w:iCs/>
                <w:caps w:val="false"/>
                <w:color w:val="717171"/>
                <w:sz w:val="17"/>
                <w:szCs w:val="17"/>
              </w:rPr>
              <w:t xml:space="preserve">Síntesis de tres análisis independientes de IA y revisión crítica pedagógica</w:t>
            </w:r>
          </w:p>
        </w:tc>
        <w:tc>
          <w:tcPr>
            <w:tcW w:type="dxa" w:w="3820"/>
            <w:tcBorders>
              <w:top w:val="single" w:color="DDDDDD" w:sz="4"/>
              <w:left w:val="none" w:color="FFFFFF" w:sz="0"/>
              <w:bottom w:val="none" w:color="FFFFFF" w:sz="0"/>
              <w:right w:val="none" w:color="FFFFFF" w:sz="0"/>
            </w:tcBorders>
            <w:shd w:fill="FFFFFF" w:val="clear"/>
            <w:tcMar>
              <w:top w:type="dxa" w:w="60"/>
              <w:left w:type="dxa" w:w="140"/>
              <w:bottom w:type="dxa" w:w="60"/>
              <w:right w:type="dxa" w:w="140"/>
            </w:tcMar>
            <w:vAlign w:val="top"/>
          </w:tcPr>
          <w:p>
            <w:pPr>
              <w:spacing w:after="80" w:before="0"/>
              <w:jc w:val="right"/>
            </w:pPr>
            <w:r>
              <w:rPr>
                <w:rFonts w:ascii="Georgia" w:cs="Georgia" w:eastAsia="Georgia" w:hAnsi="Georgia"/>
                <w:b w:val="false"/>
                <w:bCs w:val="false"/>
                <w:i w:val="false"/>
                <w:iCs w:val="false"/>
                <w:caps w:val="false"/>
                <w:color w:val="717171"/>
                <w:sz w:val="17"/>
                <w:szCs w:val="17"/>
              </w:rPr>
              <w:t xml:space="preserve">Uso interno y reservado</w:t>
            </w:r>
          </w:p>
          <w:p>
            <w:pPr>
              <w:spacing w:after="80" w:before="0"/>
              <w:jc w:val="right"/>
            </w:pPr>
            <w:r>
              <w:rPr>
                <w:rFonts w:ascii="Georgia" w:cs="Georgia" w:eastAsia="Georgia" w:hAnsi="Georgia"/>
                <w:b w:val="false"/>
                <w:bCs w:val="false"/>
                <w:i/>
                <w:iCs/>
                <w:caps w:val="false"/>
                <w:color w:val="717171"/>
                <w:sz w:val="17"/>
                <w:szCs w:val="17"/>
              </w:rPr>
              <w:t xml:space="preserve">No distribuir sin autorización del equipo directivo</w:t>
            </w:r>
          </w:p>
        </w:tc>
      </w:tr>
    </w:tbl>
    <w:p>
      <w:r>
        <w:br w:type="page"/>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0D1B2A" w:val="clear"/>
            <w:tcMar>
              <w:top w:type="dxa" w:w="140"/>
              <w:left w:type="dxa" w:w="240"/>
              <w:bottom w:type="dxa" w:w="140"/>
              <w:right w:type="dxa" w:w="240"/>
            </w:tcMar>
            <w:vAlign w:val="top"/>
          </w:tcPr>
          <w:p>
            <w:pPr>
              <w:spacing w:after="80" w:before="0"/>
              <w:jc w:val="left"/>
            </w:pPr>
            <w:r>
              <w:rPr>
                <w:rFonts w:ascii="Arial" w:cs="Arial" w:eastAsia="Arial" w:hAnsi="Arial"/>
                <w:b/>
                <w:bCs/>
                <w:i w:val="false"/>
                <w:iCs w:val="false"/>
                <w:color w:val="FFFFFF"/>
                <w:sz w:val="22"/>
                <w:szCs w:val="22"/>
              </w:rPr>
              <w:t xml:space="preserve">NOTA METODOLÓGICA: CÓMO LEER ESTE DOCUMENTO</w:t>
            </w:r>
          </w:p>
        </w:tc>
      </w:tr>
    </w:tbl>
    <w:p>
      <w:pPr>
        <w:spacing w:after="0" w:before="8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Este documento distingue claramente tres tipos de contenido, señalizados en el texto: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  ANÁLISIS</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Descripción de hechos contrastables: datos demográficos, estructura organizativa, datos de FP en Aragón, marco legislativo. El análisis no prescribe; describe. Cuando los datos son estimaciones, se indica expresamente.</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  INTERPRETACIÓN</w:t>
            </w:r>
          </w:p>
        </w:tc>
        <w:tc>
          <w:tcPr>
            <w:tcW w:type="dxa" w:w="68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Lectura de los datos a través de un marco conceptual. Las interpretaciones pueden ser discutibles; se fundamentan y se señalan como tales. La metáfora de la 'casa en la frontera' es una herramienta interpretativa, no una descripción objetiva.</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  PROPUESTA</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Recomendaciones de acción derivadas del análisis e interpretación. Son normativas por definición: expresan lo que consideramos conveniente. Se fundamentan en el análisis pero implican un juicio de valor que el equipo directivo debe deliberar.</w:t>
            </w:r>
          </w:p>
        </w:tc>
      </w:tr>
    </w:tbl>
    <w:p>
      <w:pPr>
        <w:spacing w:after="0" w:before="12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FEF9E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FEF9E7"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Una crítica legítima de versiones previas de este documento señalaba que confundía análisis descriptivo con propuesta normativa: describía el centro pero en realidad estaba imponiendo un modelo de escuela. Esta versión intenta corregir ese defecto con separación explícita. El lector puede aceptar el análisis y rechazar las propuestas; son cosas distintas.</w:t>
            </w:r>
          </w:p>
        </w:tc>
      </w:tr>
    </w:tbl>
    <w:p>
      <w:pPr>
        <w:spacing w:after="0" w:before="8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EBF5F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Sobre los datos: los datos demográficos proceden del Padrón Municipal de Zaragoza (2025), del INE y de la Wikipedia (fuente: datos censales). Los datos de FP proceden del Gobierno de Aragón y del BOA. Los datos financieros del centro son estimaciones basadas en la estructura típica del sector concertado aragonés; el centro publica sus cuentas a nivel de inspectoría y en la Consejería de Educación, y se recomienda consultar esas fuentes directamente.</w:t>
            </w:r>
          </w:p>
        </w:tc>
      </w:tr>
    </w:tbl>
    <w:p>
      <w:r>
        <w:br w:type="page"/>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1A3A5C" w:val="clear"/>
            <w:tcMar>
              <w:top w:type="dxa" w:w="60"/>
              <w:left w:type="dxa" w:w="200"/>
              <w:bottom w:type="dxa" w:w="60"/>
              <w:right w:type="dxa" w:w="200"/>
            </w:tcMar>
            <w:vAlign w:val="top"/>
          </w:tcPr>
          <w:p>
            <w:pPr>
              <w:spacing w:after="80" w:before="0"/>
              <w:jc w:val="left"/>
            </w:pPr>
            <w:r>
              <w:rPr>
                <w:rFonts w:ascii="Arial" w:cs="Arial" w:eastAsia="Arial" w:hAnsi="Arial"/>
                <w:b/>
                <w:bCs/>
                <w:i w:val="false"/>
                <w:iCs w:val="false"/>
                <w:color w:val="FFFFFF"/>
                <w:sz w:val="19"/>
                <w:szCs w:val="19"/>
              </w:rPr>
              <w:t xml:space="preserve">PARTE I — ANÁLISIS</w:t>
            </w:r>
          </w:p>
        </w:tc>
      </w:tr>
    </w:tbl>
    <w:p>
      <w:pPr>
        <w:pStyle w:val="Heading1"/>
        <w:pBdr>
          <w:bottom w:val="single" w:color="0D1B2A" w:sz="14" w:space="2"/>
        </w:pBdr>
        <w:spacing w:after="200" w:before="480"/>
      </w:pPr>
      <w:r>
        <w:rPr>
          <w:rFonts w:ascii="Georgia" w:cs="Georgia" w:eastAsia="Georgia" w:hAnsi="Georgia"/>
          <w:b/>
          <w:bCs/>
          <w:color w:val="0D1B2A"/>
          <w:sz w:val="34"/>
          <w:szCs w:val="34"/>
        </w:rPr>
        <w:t xml:space="preserve">1. EL CONTEXTO: TERRITORIO, DEMOGRAFÍA Y MARCO LEGAL</w:t>
      </w:r>
    </w:p>
    <w:p>
      <w:pPr>
        <w:pStyle w:val="Heading2"/>
        <w:spacing w:after="120" w:before="320"/>
      </w:pPr>
      <w:r>
        <w:rPr>
          <w:rFonts w:ascii="Georgia" w:cs="Georgia" w:eastAsia="Georgia" w:hAnsi="Georgia"/>
          <w:b/>
          <w:bCs/>
          <w:color w:val="0B6157"/>
          <w:sz w:val="27"/>
          <w:szCs w:val="27"/>
        </w:rPr>
        <w:t xml:space="preserve">1.1 El territorio: Delicias y Romareda en cifras</w:t>
      </w:r>
    </w:p>
    <w:p>
      <w:pPr>
        <w:spacing w:after="100" w:before="0"/>
        <w:jc w:val="left"/>
      </w:pPr>
      <w:r>
        <w:rPr>
          <w:rFonts w:ascii="Georgia" w:cs="Georgia" w:eastAsia="Georgia" w:hAnsi="Georgia"/>
          <w:b w:val="false"/>
          <w:bCs w:val="false"/>
          <w:i w:val="false"/>
          <w:iCs w:val="false"/>
          <w:caps w:val="false"/>
          <w:color w:val="000000"/>
          <w:sz w:val="22"/>
          <w:szCs w:val="22"/>
        </w:rPr>
        <w:t xml:space="preserve">El Colegio Salesiano NSP se sitúa en la calle María Auxiliadora 57, en la zona de transición entre el distrito de Delicias y los barrios de Ciudad Jardín y Romareda. Esta ubicación no es anecdótica: define quiénes son sus potenciales alumnos y qué recursos y necesidades llevan consigo.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Indicador</w:t>
            </w:r>
          </w:p>
        </w:tc>
        <w:tc>
          <w:tcPr>
            <w:tcW w:type="dxa" w:w="34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Delicias</w:t>
            </w:r>
          </w:p>
        </w:tc>
        <w:tc>
          <w:tcPr>
            <w:tcW w:type="dxa" w:w="34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Romareda / Ciudad Jardín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Población (aprox. 2020-2025)</w:t>
            </w:r>
          </w:p>
        </w:tc>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102.000-104.000 hab.</w:t>
            </w:r>
          </w:p>
        </w:tc>
        <w:tc>
          <w:tcPr>
            <w:tcW w:type="dxa" w:w="3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Barrio de menor densidad, aprox. 18.000-22.000</w:t>
            </w:r>
          </w:p>
        </w:tc>
      </w:tr>
      <w:tr>
        <w:trPr>
          <w:tblHeader w:val="false"/>
        </w:trPr>
        <w:tc>
          <w:tcPr>
            <w:tcW w:type="dxa" w:w="2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Densidad</w:t>
            </w:r>
          </w:p>
        </w:tc>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~31.700 hab/km² (máxima de Zaragoza)</w:t>
            </w:r>
          </w:p>
        </w:tc>
        <w:tc>
          <w:tcPr>
            <w:tcW w:type="dxa" w:w="34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Baja; urbanización con zonas verdes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Población extranjera</w:t>
            </w:r>
          </w:p>
        </w:tc>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~25% (fuente: Wikipedia / datos censales 2020)</w:t>
            </w:r>
          </w:p>
        </w:tc>
        <w:tc>
          <w:tcPr>
            <w:tcW w:type="dxa" w:w="3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Muy inferior a la media municipal (16,8%)</w:t>
            </w:r>
          </w:p>
        </w:tc>
      </w:tr>
      <w:tr>
        <w:trPr>
          <w:tblHeader w:val="false"/>
        </w:trPr>
        <w:tc>
          <w:tcPr>
            <w:tcW w:type="dxa" w:w="2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Orígenes principales</w:t>
            </w:r>
          </w:p>
        </w:tc>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Rumanía, Colombia, Marruecos, Nicaragua</w:t>
            </w:r>
          </w:p>
        </w:tc>
        <w:tc>
          <w:tcPr>
            <w:tcW w:type="dxa" w:w="34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Renta estimada</w:t>
            </w:r>
          </w:p>
        </w:tc>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Por debajo de la media municipal</w:t>
            </w:r>
          </w:p>
        </w:tc>
        <w:tc>
          <w:tcPr>
            <w:tcW w:type="dxa" w:w="3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Por encima; uno de los barrios con mayor precio de m² en Zaragoza (2.755 €/m², 2024)</w:t>
            </w:r>
          </w:p>
        </w:tc>
      </w:tr>
      <w:tr>
        <w:trPr>
          <w:tblHeader w:val="false"/>
        </w:trPr>
        <w:tc>
          <w:tcPr>
            <w:tcW w:type="dxa" w:w="2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Perfil histórico</w:t>
            </w:r>
          </w:p>
        </w:tc>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Barrio obrero industrial; alta migración interior (años 60-80) y exterior (desde 2000)</w:t>
            </w:r>
          </w:p>
        </w:tc>
        <w:tc>
          <w:tcPr>
            <w:tcW w:type="dxa" w:w="34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Residencial consolidado, servicios premium</w:t>
            </w:r>
          </w:p>
        </w:tc>
      </w:tr>
    </w:tbl>
    <w:p>
      <w:pPr>
        <w:spacing w:after="0" w:before="8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FEF9E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FEF9E7"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Aviso sobre los datos: la cifra del 25% de población extranjera en Delicias es del censo de 2020 y puede haber variado. La media de Zaragoza ciudad es del 16,8% (padrón 2025). Cualquier análisis preciso requeriría consultar el padrón por secciones censales del Servicio de Estadística del Ayuntamiento de Zaragoza. La cifra del '30% de infancia bajo el umbral de pobreza', citada en versiones anteriores, no tiene fuente primaria verificada en este documento y se suprime.</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1.2 El colegio: datos verificados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Dirección</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 María Auxiliadora, 57 · CP 50009 · Zaragoza</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Código de centro</w:t>
            </w:r>
          </w:p>
        </w:tc>
        <w:tc>
          <w:tcPr>
            <w:tcW w:type="dxa" w:w="68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50007236 (verificable en educa.aragon.es)</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Titularidad</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Congregación Salesiana (SDB) · Centro concertado</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Alumnado estimado</w:t>
            </w:r>
          </w:p>
        </w:tc>
        <w:tc>
          <w:tcPr>
            <w:tcW w:type="dxa" w:w="68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~1.600 alumnos (dato publicado en medios; fuente directa: memoria anual del centro)</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Alumnado en FP</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~700 (dato publicado; fuente directa recomendada)</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Etapas concertadas</w:t>
            </w:r>
          </w:p>
        </w:tc>
        <w:tc>
          <w:tcPr>
            <w:tcW w:type="dxa" w:w="68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Infantil 2º ciclo, Primaria, ESO, Bachillerato (concierto singular, desde hace más de 10 años), GM y GS de FP según resolución de conciertos vigente</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Etapas privadas</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Aula 1-2 años (nueva, 2025-26), Bachillerato Dual Americano (modalidad premium)</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Autorización nueva</w:t>
            </w:r>
          </w:p>
        </w:tc>
        <w:tc>
          <w:tcPr>
            <w:tcW w:type="dxa" w:w="68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GS Mecatrónica Industrial (turno vespertino, BOA 2026-27)</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FP concertada (2024-25)</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GM Mantenimiento Electromecánico, entre otros (BOA mayo 2024)</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Directora del Colegio</w:t>
            </w:r>
          </w:p>
        </w:tc>
        <w:tc>
          <w:tcPr>
            <w:tcW w:type="dxa" w:w="68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Merche López (ex-alumna, Diplomada Empresariales, especialización TI)</w:t>
            </w:r>
          </w:p>
        </w:tc>
      </w:tr>
      <w:tr>
        <w:tc>
          <w:tcPr>
            <w:tcW w:type="dxa" w:w="2200"/>
            <w:tcBorders>
              <w:top w:val="single" w:color="1F6FA8" w:sz="4"/>
              <w:left w:val="single" w:color="1F6FA8" w:sz="4"/>
              <w:bottom w:val="single" w:color="1F6FA8" w:sz="4"/>
              <w:right w:val="single" w:color="1F6FA8" w:sz="4"/>
            </w:tcBorders>
            <w:shd w:fill="D6EAF8" w:val="clear"/>
            <w:tcMar>
              <w:top w:type="dxa" w:w="80"/>
              <w:left w:type="dxa" w:w="120"/>
              <w:bottom w:type="dxa" w:w="80"/>
              <w:right w:type="dxa" w:w="120"/>
            </w:tcMar>
            <w:vAlign w:val="top"/>
          </w:tcPr>
          <w:p>
            <w:pPr>
              <w:spacing w:after="80" w:before="0"/>
              <w:jc w:val="left"/>
            </w:pPr>
            <w:r>
              <w:rPr>
                <w:rFonts w:ascii="Georgia" w:cs="Georgia" w:eastAsia="Georgia" w:hAnsi="Georgia"/>
                <w:b/>
                <w:bCs/>
                <w:i w:val="false"/>
                <w:iCs w:val="false"/>
                <w:caps w:val="false"/>
                <w:color w:val="1A3A5C"/>
                <w:sz w:val="20"/>
                <w:szCs w:val="20"/>
              </w:rPr>
              <w:t xml:space="preserve">Director de la Casa</w:t>
            </w:r>
          </w:p>
        </w:tc>
        <w:tc>
          <w:tcPr>
            <w:tcW w:type="dxa" w:w="6820"/>
            <w:tcBorders>
              <w:top w:val="single" w:color="AAAAAA" w:sz="4"/>
              <w:left w:val="single" w:color="AAAAAA" w:sz="4"/>
              <w:bottom w:val="single" w:color="AAAAAA" w:sz="4"/>
              <w:right w:val="single" w:color="AAAAAA" w:sz="4"/>
            </w:tcBorders>
            <w:shd w:fill="F7F7F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José Joaquín Coma (salesiano sacerdote)</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1.3 Marco legislativo aplicable</w:t>
      </w:r>
    </w:p>
    <w:p>
      <w:pPr>
        <w:spacing w:after="80" w:before="0"/>
        <w:jc w:val="left"/>
      </w:pPr>
      <w:r>
        <w:rPr>
          <w:rFonts w:ascii="Georgia" w:cs="Georgia" w:eastAsia="Georgia" w:hAnsi="Georgia"/>
          <w:b w:val="false"/>
          <w:bCs w:val="false"/>
          <w:i w:val="false"/>
          <w:iCs w:val="false"/>
          <w:caps w:val="false"/>
          <w:color w:val="000000"/>
          <w:sz w:val="22"/>
          <w:szCs w:val="22"/>
        </w:rPr>
        <w:t xml:space="preserve">Los marcos normativos que condicionan directamente las decisiones organizativas del centro son los siguientes: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5720"/>
      </w:tblGrid>
      <w:tr>
        <w:trPr>
          <w:tblHeader/>
        </w:trPr>
        <w:tc>
          <w:tcPr>
            <w:tcW w:type="dxa" w:w="16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Norma</w:t>
            </w:r>
          </w:p>
        </w:tc>
        <w:tc>
          <w:tcPr>
            <w:tcW w:type="dxa" w:w="17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Ámbito</w:t>
            </w:r>
          </w:p>
        </w:tc>
        <w:tc>
          <w:tcPr>
            <w:tcW w:type="dxa" w:w="57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Relevancia para el NSP</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LOE (LO 2/2006) mod. por LOMLOE (LO 3/2020)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Estatal</w:t>
            </w:r>
          </w:p>
        </w:tc>
        <w:tc>
          <w:tcPr>
            <w:tcW w:type="dxa" w:w="57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Estructura del sistema; admisión (art. 84, 87, 88); autonomía de centros</w:t>
            </w:r>
          </w:p>
        </w:tc>
      </w:tr>
      <w:tr>
        <w:trPr>
          <w:tblHeader w:val="false"/>
        </w:trPr>
        <w:tc>
          <w:tcPr>
            <w:tcW w:type="dxa" w:w="16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LODE (LO 8/1985)</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Estatal</w:t>
            </w:r>
          </w:p>
        </w:tc>
        <w:tc>
          <w:tcPr>
            <w:tcW w:type="dxa" w:w="57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Régimen jurídico de centros concertados; carácter propio; órganos de gobierno</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LO 3/2022 de Ordenación de la FP</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Estatal</w:t>
            </w:r>
          </w:p>
        </w:tc>
        <w:tc>
          <w:tcPr>
            <w:tcW w:type="dxa" w:w="57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Nueva estructura FP: grados A-E, FP Dual, concesión de plazas</w:t>
            </w:r>
          </w:p>
        </w:tc>
      </w:tr>
      <w:tr>
        <w:trPr>
          <w:tblHeader w:val="false"/>
        </w:trPr>
        <w:tc>
          <w:tcPr>
            <w:tcW w:type="dxa" w:w="16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RD 659/2023 de desarrollo de la LO 3/2022</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Estatal</w:t>
            </w:r>
          </w:p>
        </w:tc>
        <w:tc>
          <w:tcPr>
            <w:tcW w:type="dxa" w:w="57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Desarrollo reglamentario de la nueva FP</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Decreto 57/2024 del Gobierno de Aragón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Autonómica</w:t>
            </w:r>
          </w:p>
        </w:tc>
        <w:tc>
          <w:tcPr>
            <w:tcW w:type="dxa" w:w="57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Escolarización en centros sostenidos con fondos públicos en Aragón</w:t>
            </w:r>
          </w:p>
        </w:tc>
      </w:tr>
      <w:tr>
        <w:trPr>
          <w:tblHeader w:val="false"/>
        </w:trPr>
        <w:tc>
          <w:tcPr>
            <w:tcW w:type="dxa" w:w="16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Decreto 91/2024 del Gobierno de Aragón</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Autonómica</w:t>
            </w:r>
          </w:p>
        </w:tc>
        <w:tc>
          <w:tcPr>
            <w:tcW w:type="dxa" w:w="57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Ordenación de la FP en Aragón (Grados D y 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Orden ECD/471/2026 (Gobierno de Aragón)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Autonómica</w:t>
            </w:r>
          </w:p>
        </w:tc>
        <w:tc>
          <w:tcPr>
            <w:tcW w:type="dxa" w:w="57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Convocatoria de escolarización 2026-27 en Aragón</w:t>
            </w:r>
          </w:p>
        </w:tc>
      </w:tr>
      <w:tr>
        <w:trPr>
          <w:tblHeader w:val="false"/>
        </w:trPr>
        <w:tc>
          <w:tcPr>
            <w:tcW w:type="dxa" w:w="16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RGPD (UE 2016/679) + LOPDGDD (LO 3/2018)</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Europeo/Estatal</w:t>
            </w:r>
          </w:p>
        </w:tc>
        <w:tc>
          <w:tcPr>
            <w:tcW w:type="dxa" w:w="57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Protección de datos de menores y familias</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Concierto singular de Bachillerato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Autonómica</w:t>
            </w:r>
          </w:p>
        </w:tc>
        <w:tc>
          <w:tcPr>
            <w:tcW w:type="dxa" w:w="57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Vigente para el NSP desde hace más de 10 años; condiciones en la resolución de conciertos del Gobierno de Aragón</w:t>
            </w:r>
          </w:p>
        </w:tc>
      </w:tr>
      <w:tr>
        <w:trPr>
          <w:tblHeader w:val="false"/>
        </w:trPr>
        <w:tc>
          <w:tcPr>
            <w:tcW w:type="dxa" w:w="16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Conv. Colectivo Enseñanza Privada-Concertada</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Sectorial</w:t>
            </w:r>
          </w:p>
        </w:tc>
        <w:tc>
          <w:tcPr>
            <w:tcW w:type="dxa" w:w="57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Regulación de jornada, horas lectivas y complementarias del profesorado</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1.4 La FP en Aragón: posición del NSP en el ecosistema regional</w:t>
      </w:r>
    </w:p>
    <w:p>
      <w:pPr>
        <w:spacing w:after="100" w:before="0"/>
        <w:jc w:val="left"/>
      </w:pPr>
      <w:r>
        <w:rPr>
          <w:rFonts w:ascii="Georgia" w:cs="Georgia" w:eastAsia="Georgia" w:hAnsi="Georgia"/>
          <w:b w:val="false"/>
          <w:bCs w:val="false"/>
          <w:i w:val="false"/>
          <w:iCs w:val="false"/>
          <w:caps w:val="false"/>
          <w:color w:val="000000"/>
          <w:sz w:val="22"/>
          <w:szCs w:val="22"/>
        </w:rPr>
        <w:t xml:space="preserve">La FP aragonesa está en un momento de expansión sostenida. Entender dónde se sitúa el NSP requiere conocer el conjunto.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Indicador</w:t>
            </w:r>
          </w:p>
        </w:tc>
        <w:tc>
          <w:tcPr>
            <w:tcW w:type="dxa" w:w="44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Dato</w:t>
            </w:r>
          </w:p>
        </w:tc>
        <w:tc>
          <w:tcPr>
            <w:tcW w:type="dxa" w:w="24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Fuente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Alumnado FP pública (fondos públicos)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~26.700 (curso 2024-25)</w:t>
            </w:r>
          </w:p>
        </w:tc>
        <w:tc>
          <w:tcPr>
            <w:tcW w:type="dxa" w:w="2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Consejería de Educación Aragón</w:t>
            </w:r>
          </w:p>
        </w:tc>
      </w:tr>
      <w:tr>
        <w:trPr>
          <w:tblHeader w:val="false"/>
        </w:trPr>
        <w:tc>
          <w:tcPr>
            <w:tcW w:type="dxa" w:w="2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Alumnado FP centros privados</w:t>
            </w:r>
          </w:p>
        </w:tc>
        <w:tc>
          <w:tcPr>
            <w:tcW w:type="dxa" w:w="4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~3.420</w:t>
            </w:r>
          </w:p>
        </w:tc>
        <w:tc>
          <w:tcPr>
            <w:tcW w:type="dxa" w:w="24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Consejería de Educación Aragón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Tasa de inserción laboral (6 meses)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86% (general); 97% (FP Dual)</w:t>
            </w:r>
          </w:p>
        </w:tc>
        <w:tc>
          <w:tcPr>
            <w:tcW w:type="dxa" w:w="2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Consejería de Educación Aragón</w:t>
            </w:r>
          </w:p>
        </w:tc>
      </w:tr>
      <w:tr>
        <w:trPr>
          <w:tblHeader w:val="false"/>
        </w:trPr>
        <w:tc>
          <w:tcPr>
            <w:tcW w:type="dxa" w:w="2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Nuevos ciclos 2025-27</w:t>
            </w:r>
          </w:p>
        </w:tc>
        <w:tc>
          <w:tcPr>
            <w:tcW w:type="dxa" w:w="4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27 nuevos ciclos; +1.560 plazas</w:t>
            </w:r>
          </w:p>
        </w:tc>
        <w:tc>
          <w:tcPr>
            <w:tcW w:type="dxa" w:w="24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BOA / Gobierno de Aragón, 2025</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Inversión pública en FP</w:t>
            </w:r>
          </w:p>
        </w:tc>
        <w:tc>
          <w:tcPr>
            <w:tcW w:type="dxa" w:w="4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10M€ en nuevo edificio en DAT Alierta (Zaragoza)</w:t>
            </w:r>
          </w:p>
        </w:tc>
        <w:tc>
          <w:tcPr>
            <w:tcW w:type="dxa" w:w="24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Gobierno de Aragón, 2025</w:t>
            </w:r>
          </w:p>
        </w:tc>
      </w:tr>
      <w:tr>
        <w:trPr>
          <w:tblHeader w:val="false"/>
        </w:trPr>
        <w:tc>
          <w:tcPr>
            <w:tcW w:type="dxa" w:w="2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Ciclos STEM/digital</w:t>
            </w:r>
          </w:p>
        </w:tc>
        <w:tc>
          <w:tcPr>
            <w:tcW w:type="dxa" w:w="4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~14.000 alumnos en Aragón para 2025-26</w:t>
            </w:r>
          </w:p>
        </w:tc>
        <w:tc>
          <w:tcPr>
            <w:tcW w:type="dxa" w:w="24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Consejería de Educación Aragón</w:t>
            </w:r>
          </w:p>
        </w:tc>
      </w:tr>
    </w:tbl>
    <w:p>
      <w:pPr>
        <w:spacing w:after="0" w:before="10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El NSP compite en este mercado con tres tipos de actores: la red pública (IES Pablo Serrano, IES Pirámide, CPIFP Los Enlace, IFP Campus Digital), otros centros concertados con FP técnica (principalmente Salesianos San Valero, que es su competidor más directo en perfil y oferta) y las plataformas nacionales de FP semipresencial y a distancia (ILERNA, TOKIO, entre otras) que captaron ya más de 3.000 alumnos aragoneses. La nueva inversión pública en el DAT Alierta aumentará la oferta pública en informática y mecatrónica, que son precisamente las familias profesionales del NSP.</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D1F2E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D1F2E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La FP del NSP tiene una ventaja competitiva real en la FP Dual (tasa de inserción &gt;97%) y en su trayectoria de relaciones con el tejido empresarial zaragozano. Esta ventaja puede erosionarse si la oferta pública crece en los mismos ciclos. La diferenciación del NSP debe ser activa, no pasiva.</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1.5 Los flujos de alumnado: demografía y zonificación</w:t>
      </w:r>
    </w:p>
    <w:p>
      <w:pPr>
        <w:pStyle w:val="Heading3"/>
        <w:spacing w:after="100" w:before="220"/>
      </w:pPr>
      <w:r>
        <w:rPr>
          <w:rFonts w:ascii="Georgia" w:cs="Georgia" w:eastAsia="Georgia" w:hAnsi="Georgia"/>
          <w:b/>
          <w:bCs/>
          <w:color w:val="1A3A5C"/>
          <w:sz w:val="24"/>
          <w:szCs w:val="24"/>
        </w:rPr>
        <w:t xml:space="preserve">La zonificación en Aragón</w:t>
      </w:r>
    </w:p>
    <w:p>
      <w:pPr>
        <w:spacing w:after="100" w:before="0"/>
        <w:jc w:val="left"/>
      </w:pPr>
      <w:r>
        <w:rPr>
          <w:rFonts w:ascii="Georgia" w:cs="Georgia" w:eastAsia="Georgia" w:hAnsi="Georgia"/>
          <w:b w:val="false"/>
          <w:bCs w:val="false"/>
          <w:i w:val="false"/>
          <w:iCs w:val="false"/>
          <w:caps w:val="false"/>
          <w:color w:val="000000"/>
          <w:sz w:val="22"/>
          <w:szCs w:val="22"/>
        </w:rPr>
        <w:t xml:space="preserve">El Decreto 57/2024 del Gobierno de Aragón regula la escolarización en centros públicos y concertados. Establece áreas de influencia para cada centro, que condicionan la prelación en la admisión: el alumnado con domicilio en el área de influencia del centro tiene prioridad. Las áreas de influencia para los centros de Zaragoza capital son aprobadas por el Servicio Provincial de Educación, Cultura y Deporte de Zaragoza, y se publican en el BOA junto a cada convocatoria de escolarización.</w:t>
      </w:r>
    </w:p>
    <w:p>
      <w:pPr>
        <w:spacing w:after="100" w:before="0"/>
        <w:jc w:val="left"/>
      </w:pPr>
      <w:r>
        <w:rPr>
          <w:rFonts w:ascii="Georgia" w:cs="Georgia" w:eastAsia="Georgia" w:hAnsi="Georgia"/>
          <w:b w:val="false"/>
          <w:bCs w:val="false"/>
          <w:i w:val="false"/>
          <w:iCs w:val="false"/>
          <w:caps w:val="false"/>
          <w:color w:val="000000"/>
          <w:sz w:val="22"/>
          <w:szCs w:val="22"/>
        </w:rPr>
        <w:t xml:space="preserve">Para bachillerato, el Decreto 57/2024 y la Orden ECD/471/2026 regulan también la adscripción de centros: los centros con solo ESO tienen asignados centros de bachillerato de referencia, lo que facilita el paso automático de los alumnos. La adscripción formal constituye un derecho preferente de plaza —no garantizado, pero sí con prioridad baremable.</w:t>
      </w:r>
    </w:p>
    <w:p>
      <w:pPr>
        <w:pStyle w:val="Heading3"/>
        <w:spacing w:after="100" w:before="220"/>
      </w:pPr>
      <w:r>
        <w:rPr>
          <w:rFonts w:ascii="Georgia" w:cs="Georgia" w:eastAsia="Georgia" w:hAnsi="Georgia"/>
          <w:b/>
          <w:bCs/>
          <w:color w:val="1A3A5C"/>
          <w:sz w:val="24"/>
          <w:szCs w:val="24"/>
        </w:rPr>
        <w:t xml:space="preserve">El bachillerato del NSP: un concierto singular con historia</w:t>
      </w:r>
    </w:p>
    <w:p>
      <w:pPr>
        <w:spacing w:after="100" w:before="0"/>
        <w:jc w:val="left"/>
      </w:pPr>
      <w:r>
        <w:rPr>
          <w:rFonts w:ascii="Georgia" w:cs="Georgia" w:eastAsia="Georgia" w:hAnsi="Georgia"/>
          <w:b w:val="false"/>
          <w:bCs w:val="false"/>
          <w:i w:val="false"/>
          <w:iCs w:val="false"/>
          <w:caps w:val="false"/>
          <w:color w:val="000000"/>
          <w:sz w:val="22"/>
          <w:szCs w:val="22"/>
        </w:rPr>
        <w:t xml:space="preserve">El NSP lleva más de diez años con el concierto singular de bachillerato, siendo durante ese período uno de los pocos centros concertados de Zaragoza que ofrecía esta etapa con financiación pública. Esto creó un flujo histórico de alumnado procedente de centros de la red concertada que impartían ESO pero no bachillerato.</w:t>
      </w:r>
    </w:p>
    <w:p>
      <w:pPr>
        <w:spacing w:after="100" w:before="0"/>
        <w:jc w:val="left"/>
      </w:pPr>
      <w:r>
        <w:rPr>
          <w:rFonts w:ascii="Georgia" w:cs="Georgia" w:eastAsia="Georgia" w:hAnsi="Georgia"/>
          <w:b w:val="false"/>
          <w:bCs w:val="false"/>
          <w:i w:val="false"/>
          <w:iCs w:val="false"/>
          <w:caps w:val="false"/>
          <w:color w:val="000000"/>
          <w:sz w:val="22"/>
          <w:szCs w:val="22"/>
        </w:rPr>
        <w:t xml:space="preserve">Los centros emisores que históricamente han enviado una parte significativa de sus alumnos de 4º ESO al NSP para cursar bachillerato incluyen, según la información disponible, al Colegio Claretianos, al Colegio Josefinas (La Inmaculada) y al Colegio Moncayo (Corazonistas). Se trata en los tres casos de centros concertados con perfil similar al NSP: identidad religiosa, origen popular, sin oferta de bachillerato propia hasta este momento.</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8B2500" w:val="clear"/>
            <w:tcMar>
              <w:top w:type="dxa" w:w="140"/>
              <w:left w:type="dxa" w:w="240"/>
              <w:bottom w:type="dxa" w:w="140"/>
              <w:right w:type="dxa" w:w="240"/>
            </w:tcMar>
            <w:vAlign w:val="top"/>
          </w:tcPr>
          <w:p>
            <w:pPr>
              <w:spacing w:after="80" w:before="0"/>
              <w:jc w:val="left"/>
            </w:pPr>
            <w:r>
              <w:rPr>
                <w:rFonts w:ascii="Arial" w:cs="Arial" w:eastAsia="Arial" w:hAnsi="Arial"/>
                <w:b/>
                <w:bCs/>
                <w:i w:val="false"/>
                <w:iCs w:val="false"/>
                <w:color w:val="FFFFFF"/>
                <w:sz w:val="22"/>
                <w:szCs w:val="22"/>
              </w:rPr>
              <w:t xml:space="preserve">CAMBIO DE CONTEXTO RELEVANTE: En abril de 2026, el Gobierno de Aragón publicó en el BOA la extensión del concierto singular de bachillerato a nuevos centros concertados. Esto significa que Claretianos, Josefinas y Moncayo pueden ahora solicitar su propio concierto de bachillerato, y si lo obtienen, retendrán a sus alumnos de 4º ESO en el propio centro.</w:t>
            </w:r>
          </w:p>
        </w:tc>
      </w:tr>
    </w:tbl>
    <w:p>
      <w:pPr>
        <w:spacing w:after="0" w:before="10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La estimación del impacto de este cambio es incierta, porque depende de cuántos de esos centros soliciten y obtengan el concierto, y en qué plazos. Sin embargo, el mecanismo de riesgo es claro: si el 25-35% de los alumnos actuales de bachillerato del NSP procede de esos centros emisores (estimación plausible, no verificada; requiere contrastarse con los datos internos del centro), la pérdida potencial oscila entre 15 y 30 alumnos por año, lo que equivale a reducir de dos a un grupo o a un grupo incompleto en bachillerato.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320"/>
      </w:tblGrid>
      <w:tr>
        <w:trPr>
          <w:tblHeader/>
        </w:trPr>
        <w:tc>
          <w:tcPr>
            <w:tcW w:type="dxa" w:w="25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Centro emisor (estimado)</w:t>
            </w:r>
          </w:p>
        </w:tc>
        <w:tc>
          <w:tcPr>
            <w:tcW w:type="dxa" w:w="22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Etapas actuales</w:t>
            </w:r>
          </w:p>
        </w:tc>
        <w:tc>
          <w:tcPr>
            <w:tcW w:type="dxa" w:w="20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Bachillerato propio</w:t>
            </w:r>
          </w:p>
        </w:tc>
        <w:tc>
          <w:tcPr>
            <w:tcW w:type="dxa" w:w="23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Impacto potencial sobre NSP</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Colegio Claretianos (Zaragoza)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Infantil, Primaria, ESO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No (hasta ahora)</w:t>
            </w:r>
          </w:p>
        </w:tc>
        <w:tc>
          <w:tcPr>
            <w:tcW w:type="dxa" w:w="23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Puede retener sus alumnos si obtiene concierto</w:t>
            </w:r>
          </w:p>
        </w:tc>
      </w:tr>
      <w:tr>
        <w:trPr>
          <w:tblHeader w:val="false"/>
        </w:trPr>
        <w:tc>
          <w:tcPr>
            <w:tcW w:type="dxa" w:w="25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Colegio Josefinas / La Inmaculada</w:t>
            </w:r>
          </w:p>
        </w:tc>
        <w:tc>
          <w:tcPr>
            <w:tcW w:type="dxa" w:w="2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Infantil, Primaria, ESO</w:t>
            </w:r>
          </w:p>
        </w:tc>
        <w:tc>
          <w:tcPr>
            <w:tcW w:type="dxa" w:w="20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No (hasta ahora)</w:t>
            </w:r>
          </w:p>
        </w:tc>
        <w:tc>
          <w:tcPr>
            <w:tcW w:type="dxa" w:w="23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Ídem</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Colegio Moncayo (Corazonistas)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Infantil, Primaria, ESO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No (hasta ahora)</w:t>
            </w:r>
          </w:p>
        </w:tc>
        <w:tc>
          <w:tcPr>
            <w:tcW w:type="dxa" w:w="23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Ídem</w:t>
            </w:r>
          </w:p>
        </w:tc>
      </w:tr>
    </w:tbl>
    <w:p>
      <w:pPr>
        <w:spacing w:after="0" w:before="8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FEF9E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FEF9E7"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Estos datos son estimaciones basadas en la información disponible y en el conocimiento del ecosistema concertado de Zaragoza aportado por el propio centro. Para un análisis preciso, el equipo directivo debe contrastar con sus propios datos de procedencia de los alumnos de 1º de bachillerato.</w:t>
            </w:r>
          </w:p>
        </w:tc>
      </w:tr>
    </w:tbl>
    <w:p>
      <w:pPr>
        <w:spacing w:after="0" w:before="100"/>
      </w:pPr>
      <w:r>
        <w:t xml:space="preserve"> </w:t>
      </w:r>
    </w:p>
    <w:p>
      <w:pPr>
        <w:pStyle w:val="Heading3"/>
        <w:spacing w:after="100" w:before="220"/>
      </w:pPr>
      <w:r>
        <w:rPr>
          <w:rFonts w:ascii="Georgia" w:cs="Georgia" w:eastAsia="Georgia" w:hAnsi="Georgia"/>
          <w:b/>
          <w:bCs/>
          <w:color w:val="1A3A5C"/>
          <w:sz w:val="24"/>
          <w:szCs w:val="24"/>
        </w:rPr>
        <w:t xml:space="preserve">Proyecciones demográficas</w:t>
      </w:r>
    </w:p>
    <w:p>
      <w:pPr>
        <w:spacing w:after="100" w:before="0"/>
        <w:jc w:val="left"/>
      </w:pPr>
      <w:r>
        <w:rPr>
          <w:rFonts w:ascii="Georgia" w:cs="Georgia" w:eastAsia="Georgia" w:hAnsi="Georgia"/>
          <w:b w:val="false"/>
          <w:bCs w:val="false"/>
          <w:i w:val="false"/>
          <w:iCs w:val="false"/>
          <w:caps w:val="false"/>
          <w:color w:val="000000"/>
          <w:sz w:val="22"/>
          <w:szCs w:val="22"/>
        </w:rPr>
        <w:t xml:space="preserve">La demografía es el factor de más largo alcance. Delicias es el distrito más poblado de Zaragoza, pero su estructura demográfica tiene dos características relevantes para la planificación escolar: el envejecimiento de la población autóctona y la relativa estabilización de la inmigración. Los nacimientos en Zaragoza llevan varios años en mínimos históricos (tendencia nacional: tasa de natalidad por debajo del 1,2 hijos por mujer). Los efectos sobre la matrícula de Infantil y Primaria se irán notando entre 2026 y 2030, con un impacto diferido sobre ESO hacia 2033-2035.</w:t>
      </w:r>
    </w:p>
    <w:p>
      <w:pPr>
        <w:spacing w:after="100" w:before="0"/>
        <w:jc w:val="left"/>
      </w:pPr>
      <w:r>
        <w:rPr>
          <w:rFonts w:ascii="Georgia" w:cs="Georgia" w:eastAsia="Georgia" w:hAnsi="Georgia"/>
          <w:b w:val="false"/>
          <w:bCs w:val="false"/>
          <w:i w:val="false"/>
          <w:iCs w:val="false"/>
          <w:caps w:val="false"/>
          <w:color w:val="000000"/>
          <w:sz w:val="22"/>
          <w:szCs w:val="22"/>
        </w:rPr>
        <w:t xml:space="preserve">La FP, en cambio, no depende del ciclo demográfico de los nacimientos: sus alumnos son jóvenes de 16-25 años, muchos de los cuales se incorporan tras trayectorias educativas no lineales, y su demanda responde más al ciclo del mercado laboral que a la pirámide de edades. Esto hace que la FP sea el segmento más resiliente de la oferta del NSP ante la caída demográfica.</w:t>
      </w:r>
    </w:p>
    <w:p>
      <w:pPr>
        <w:pStyle w:val="Heading2"/>
        <w:spacing w:after="120" w:before="320"/>
      </w:pPr>
      <w:r>
        <w:rPr>
          <w:rFonts w:ascii="Georgia" w:cs="Georgia" w:eastAsia="Georgia" w:hAnsi="Georgia"/>
          <w:b/>
          <w:bCs/>
          <w:color w:val="0B6157"/>
          <w:sz w:val="27"/>
          <w:szCs w:val="27"/>
        </w:rPr>
        <w:t xml:space="preserve">1.6 La financiación del centro: estructura y sostenibilidad</w:t>
      </w:r>
    </w:p>
    <w:p>
      <w:pPr>
        <w:spacing w:after="100" w:before="0"/>
        <w:jc w:val="left"/>
      </w:pPr>
      <w:r>
        <w:rPr>
          <w:rFonts w:ascii="Georgia" w:cs="Georgia" w:eastAsia="Georgia" w:hAnsi="Georgia"/>
          <w:b w:val="false"/>
          <w:bCs w:val="false"/>
          <w:i w:val="false"/>
          <w:iCs w:val="false"/>
          <w:caps w:val="false"/>
          <w:color w:val="000000"/>
          <w:sz w:val="22"/>
          <w:szCs w:val="22"/>
        </w:rPr>
        <w:t xml:space="preserve">El centro no ha publicado hasta la fecha sus cuentas en formato de acceso fácil para la comunidad escolar, aunque los datos están disponibles a través de la Consejería de Educación y de la Inspectoría SMX. Lo que sigue es una descripción de la estructura tipo del sector, que el equipo directivo debe ajustar con sus datos reales.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700"/>
        <w:gridCol w:w="252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Fuente de ingresos</w:t>
            </w:r>
          </w:p>
        </w:tc>
        <w:tc>
          <w:tcPr>
            <w:tcW w:type="dxa" w:w="18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Naturaleza</w:t>
            </w:r>
          </w:p>
        </w:tc>
        <w:tc>
          <w:tcPr>
            <w:tcW w:type="dxa" w:w="17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Riesgo</w:t>
            </w:r>
          </w:p>
        </w:tc>
        <w:tc>
          <w:tcPr>
            <w:tcW w:type="dxa" w:w="25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Tendencia</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Módulo de concierto (Primaria, ESO, 2º ciclo Infantil)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Público; pago delegado del profesorado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Bajo (depende del Gobierno de Aragón)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Estable; infrafinanciado respecto al coste real</w:t>
            </w:r>
          </w:p>
        </w:tc>
      </w:tr>
      <w:tr>
        <w:trPr>
          <w:tblHeader w:val="false"/>
        </w:trPr>
        <w:tc>
          <w:tcPr>
            <w:tcW w:type="dxa" w:w="30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Concierto singular de Bachillerato</w:t>
            </w:r>
          </w:p>
        </w:tc>
        <w:tc>
          <w:tcPr>
            <w:tcW w:type="dxa" w:w="18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Público</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MEDIO: competencia de nuevos centros concertados en 2026-27</w:t>
            </w:r>
          </w:p>
        </w:tc>
        <w:tc>
          <w:tcPr>
            <w:tcW w:type="dxa" w:w="25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 revisar ante la nueva concertación ampliada</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Concierto de ciclos de FP (GM concertado)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Público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Bajo-medio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Creciente; nueva ley FP favorece al sector</w:t>
            </w:r>
          </w:p>
        </w:tc>
      </w:tr>
      <w:tr>
        <w:trPr>
          <w:tblHeader w:val="false"/>
        </w:trPr>
        <w:tc>
          <w:tcPr>
            <w:tcW w:type="dxa" w:w="30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FP Superior privada (si aplica)</w:t>
            </w:r>
          </w:p>
        </w:tc>
        <w:tc>
          <w:tcPr>
            <w:tcW w:type="dxa" w:w="18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Privado</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Medio</w:t>
            </w:r>
          </w:p>
        </w:tc>
        <w:tc>
          <w:tcPr>
            <w:tcW w:type="dxa" w:w="25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Alta demanda pero competencia creciente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Cuotas complementarias (comedor, actividades)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Semiprivado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Sensible a la renta familiar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Creciente en importancia por infrafinanciación</w:t>
            </w:r>
          </w:p>
        </w:tc>
      </w:tr>
      <w:tr>
        <w:trPr>
          <w:tblHeader w:val="false"/>
        </w:trPr>
        <w:tc>
          <w:tcPr>
            <w:tcW w:type="dxa" w:w="30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Aula 1-2 años (privada)</w:t>
            </w:r>
          </w:p>
        </w:tc>
        <w:tc>
          <w:tcPr>
            <w:tcW w:type="dxa" w:w="18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Privado</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Bajo-medio</w:t>
            </w:r>
          </w:p>
        </w:tc>
        <w:tc>
          <w:tcPr>
            <w:tcW w:type="dxa" w:w="25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Nueva fuente; creciente en Zaragoza</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Bachillerato Dual Americano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Privado (premium)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Medio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Nicho de mercado estable</w:t>
            </w:r>
          </w:p>
        </w:tc>
      </w:tr>
      <w:tr>
        <w:trPr>
          <w:tblHeader w:val="false"/>
        </w:trPr>
        <w:tc>
          <w:tcPr>
            <w:tcW w:type="dxa" w:w="30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Patrimonio inmobiliario (titularidad congregacional)</w:t>
            </w:r>
          </w:p>
        </w:tc>
        <w:tc>
          <w:tcPr>
            <w:tcW w:type="dxa" w:w="18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Activo no corriente</w:t>
            </w:r>
          </w:p>
        </w:tc>
        <w:tc>
          <w:tcPr>
            <w:tcW w:type="dxa" w:w="17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Bajo</w:t>
            </w:r>
          </w:p>
        </w:tc>
        <w:tc>
          <w:tcPr>
            <w:tcW w:type="dxa" w:w="25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Protección estructural clave</w:t>
            </w:r>
          </w:p>
        </w:tc>
      </w:tr>
    </w:tbl>
    <w:p>
      <w:pPr>
        <w:spacing w:after="0" w:before="10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FDEDEC"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FDEDEC"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ALERTA FINANCIERA ESPECÍFICA: La pérdida potencial de entre 15 y 30 alumnos anuales en bachillerato por la nueva concertación de centros competidores podría implicar, en 3-4 años, la inviabilidad de mantener dos grupos completos de bachillerato. Cada grupo de bachillerato concertado tiene un coste fijo de profesorado. Si cae por debajo del umbral, hay que cubrir el déficit con otros ingresos o solicitar la reducción del concierto. El equipo directivo debe modelizar este escenario con datos internos reales.</w:t>
            </w:r>
          </w:p>
        </w:tc>
      </w:tr>
    </w:tbl>
    <w:p>
      <w:r>
        <w:br w:type="page"/>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1A3A5C" w:val="clear"/>
            <w:tcMar>
              <w:top w:type="dxa" w:w="60"/>
              <w:left w:type="dxa" w:w="200"/>
              <w:bottom w:type="dxa" w:w="60"/>
              <w:right w:type="dxa" w:w="200"/>
            </w:tcMar>
            <w:vAlign w:val="top"/>
          </w:tcPr>
          <w:p>
            <w:pPr>
              <w:spacing w:after="80" w:before="0"/>
              <w:jc w:val="left"/>
            </w:pPr>
            <w:r>
              <w:rPr>
                <w:rFonts w:ascii="Arial" w:cs="Arial" w:eastAsia="Arial" w:hAnsi="Arial"/>
                <w:b/>
                <w:bCs/>
                <w:i w:val="false"/>
                <w:iCs w:val="false"/>
                <w:color w:val="FFFFFF"/>
                <w:sz w:val="19"/>
                <w:szCs w:val="19"/>
              </w:rPr>
              <w:t xml:space="preserve">PARTE I (continuación) — ANÁLISIS</w:t>
            </w:r>
          </w:p>
        </w:tc>
      </w:tr>
    </w:tbl>
    <w:p>
      <w:pPr>
        <w:pStyle w:val="Heading1"/>
        <w:pBdr>
          <w:bottom w:val="single" w:color="0D1B2A" w:sz="14" w:space="2"/>
        </w:pBdr>
        <w:spacing w:after="200" w:before="480"/>
      </w:pPr>
      <w:r>
        <w:rPr>
          <w:rFonts w:ascii="Georgia" w:cs="Georgia" w:eastAsia="Georgia" w:hAnsi="Georgia"/>
          <w:b/>
          <w:bCs/>
          <w:color w:val="0D1B2A"/>
          <w:sz w:val="34"/>
          <w:szCs w:val="34"/>
        </w:rPr>
        <w:t xml:space="preserve">2. TENDENCIAS EN ORGANIZACIÓN ESCOLAR</w:t>
      </w:r>
    </w:p>
    <w:p>
      <w:pPr>
        <w:spacing w:after="100" w:before="0"/>
        <w:jc w:val="left"/>
      </w:pPr>
      <w:r>
        <w:rPr>
          <w:rFonts w:ascii="Georgia" w:cs="Georgia" w:eastAsia="Georgia" w:hAnsi="Georgia"/>
          <w:b w:val="false"/>
          <w:bCs w:val="false"/>
          <w:i w:val="false"/>
          <w:iCs w:val="false"/>
          <w:caps w:val="false"/>
          <w:color w:val="000000"/>
          <w:sz w:val="22"/>
          <w:szCs w:val="22"/>
        </w:rPr>
        <w:t xml:space="preserve">Se presentan las seis tendencias con mayor respaldo empírico en la literatura reciente y en los informes institucionales internacionales. Se citan solamente las fuentes más sólidas.</w:t>
      </w:r>
    </w:p>
    <w:p>
      <w:pPr>
        <w:pStyle w:val="Heading2"/>
        <w:spacing w:after="120" w:before="320"/>
      </w:pPr>
      <w:r>
        <w:rPr>
          <w:rFonts w:ascii="Georgia" w:cs="Georgia" w:eastAsia="Georgia" w:hAnsi="Georgia"/>
          <w:b/>
          <w:bCs/>
          <w:color w:val="0B6157"/>
          <w:sz w:val="27"/>
          <w:szCs w:val="27"/>
        </w:rPr>
        <w:t xml:space="preserve">2.1 Laicización de las redes confesionales</w:t>
      </w:r>
    </w:p>
    <w:p>
      <w:pPr>
        <w:spacing w:after="100" w:before="0"/>
        <w:jc w:val="left"/>
      </w:pPr>
      <w:r>
        <w:rPr>
          <w:rFonts w:ascii="Georgia" w:cs="Georgia" w:eastAsia="Georgia" w:hAnsi="Georgia"/>
          <w:b w:val="false"/>
          <w:bCs w:val="false"/>
          <w:i w:val="false"/>
          <w:iCs w:val="false"/>
          <w:caps w:val="false"/>
          <w:color w:val="000000"/>
          <w:sz w:val="21"/>
          <w:szCs w:val="21"/>
        </w:rPr>
        <w:t xml:space="preserve">En toda Europa occidental, las congregaciones religiosas han ido transfiriendo la dirección pedagógica de sus centros a laicos, manteniendo la titularidad y la orientación carismática. El proceso está documentado en los países de mayor implantación histórica (Francia, Bélgica, Países Bajos, Irlanda). En España lleva dos décadas en curso. El riesgo identificado consistentemente en la investigación (Cf. Hargreaves &amp; Shirley, 2009; informes OCDE 2022 sobre school governance) es que la laicización de la gestión sin mecanismos formales de transmisión del carisma produce centros bien gestionados pero sin identidad diferencial. La cuestión no es quién dirige, sino si el proyecto educativo que legitima el centro sigue siendo genuino.</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EBF5F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La Inspectoría SMX tiene un Proyecto de Misión Compartida que aborda este proceso. Sería útil evaluar cómo se aplica específicamente en el NSP.</w:t>
            </w:r>
          </w:p>
        </w:tc>
      </w:tr>
    </w:tbl>
    <w:p>
      <w:pPr>
        <w:pStyle w:val="Heading2"/>
        <w:spacing w:after="120" w:before="320"/>
      </w:pPr>
      <w:r>
        <w:rPr>
          <w:rFonts w:ascii="Georgia" w:cs="Georgia" w:eastAsia="Georgia" w:hAnsi="Georgia"/>
          <w:b/>
          <w:bCs/>
          <w:color w:val="0B6157"/>
          <w:sz w:val="27"/>
          <w:szCs w:val="27"/>
        </w:rPr>
        <w:t xml:space="preserve">2.2 La Formación Profesional como eje estratégico</w:t>
      </w:r>
    </w:p>
    <w:p>
      <w:pPr>
        <w:spacing w:after="100" w:before="0"/>
        <w:jc w:val="left"/>
      </w:pPr>
      <w:r>
        <w:rPr>
          <w:rFonts w:ascii="Georgia" w:cs="Georgia" w:eastAsia="Georgia" w:hAnsi="Georgia"/>
          <w:b w:val="false"/>
          <w:bCs w:val="false"/>
          <w:i w:val="false"/>
          <w:iCs w:val="false"/>
          <w:caps w:val="false"/>
          <w:color w:val="000000"/>
          <w:sz w:val="21"/>
          <w:szCs w:val="21"/>
        </w:rPr>
        <w:t xml:space="preserve">La Ley Orgánica 3/2022 de Ordenación e Integración de la FP y su desarrollo reglamentario (RD 659/2023) han reconfigurado completamente el sistema. La FP Dual tiene ahora un respaldo legal y financiero sin precedente. Los centros con infraestructura técnica consolidada, relaciones empresariales establecidas y claustro especializado tienen una ventaja competitiva real que tardará años en igualarse desde cero. El NSP está en esa posición.</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EBF5F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La amenaza es la inversión pública: el Gobierno de Aragón está creando nueva capacidad en los mismos ciclos (digital, mecatrónica) que el NSP desarrolla. Mantener la ventaja exige diferenciación activa: FP Dual de calidad contrastada, orientación al empleo, resultados de inserción publicados.</w:t>
            </w:r>
          </w:p>
        </w:tc>
      </w:tr>
    </w:tbl>
    <w:p>
      <w:pPr>
        <w:pStyle w:val="Heading2"/>
        <w:spacing w:after="120" w:before="320"/>
      </w:pPr>
      <w:r>
        <w:rPr>
          <w:rFonts w:ascii="Georgia" w:cs="Georgia" w:eastAsia="Georgia" w:hAnsi="Georgia"/>
          <w:b/>
          <w:bCs/>
          <w:color w:val="0B6157"/>
          <w:sz w:val="27"/>
          <w:szCs w:val="27"/>
        </w:rPr>
        <w:t xml:space="preserve">2.3 El giro comunitario: escuelas más abiertas al territorio</w:t>
      </w:r>
    </w:p>
    <w:p>
      <w:pPr>
        <w:spacing w:after="100" w:before="0"/>
        <w:jc w:val="left"/>
      </w:pPr>
      <w:r>
        <w:rPr>
          <w:rFonts w:ascii="Georgia" w:cs="Georgia" w:eastAsia="Georgia" w:hAnsi="Georgia"/>
          <w:b w:val="false"/>
          <w:bCs w:val="false"/>
          <w:i w:val="false"/>
          <w:iCs w:val="false"/>
          <w:caps w:val="false"/>
          <w:color w:val="000000"/>
          <w:sz w:val="21"/>
          <w:szCs w:val="21"/>
        </w:rPr>
        <w:t xml:space="preserve">El informe UNESCO Reimagining Our Futures Together (2021) propone redefinir la escuela como bien común y nodo de un ecosistema de aprendizaje que incluye familias, organizaciones sociales y empresas. No es una novedad teórica; es la codificación académica de lo que la red salesiana ha practicado desde el siglo XIX con los oratorios. La novedad está en que ahora es política oficial de la UNESCO y criterio de calidad en las evaluaciones OCDE.</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EBF5F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El NSP tiene estructuras (PAE El Pilar, ATès, Centro Juvenil) que se adelantan décadas a esta tendencia. El problema es que no están integradas formalmente en el proyecto educativo del centro.</w:t>
            </w:r>
          </w:p>
        </w:tc>
      </w:tr>
    </w:tbl>
    <w:p>
      <w:pPr>
        <w:pStyle w:val="Heading2"/>
        <w:spacing w:after="120" w:before="320"/>
      </w:pPr>
      <w:r>
        <w:rPr>
          <w:rFonts w:ascii="Georgia" w:cs="Georgia" w:eastAsia="Georgia" w:hAnsi="Georgia"/>
          <w:b/>
          <w:bCs/>
          <w:color w:val="0B6157"/>
          <w:sz w:val="27"/>
          <w:szCs w:val="27"/>
        </w:rPr>
        <w:t xml:space="preserve">2.4 Participación real de familias y alumnado</w:t>
      </w:r>
    </w:p>
    <w:p>
      <w:pPr>
        <w:spacing w:after="100" w:before="0"/>
        <w:jc w:val="left"/>
      </w:pPr>
      <w:r>
        <w:rPr>
          <w:rFonts w:ascii="Georgia" w:cs="Georgia" w:eastAsia="Georgia" w:hAnsi="Georgia"/>
          <w:b w:val="false"/>
          <w:bCs w:val="false"/>
          <w:i w:val="false"/>
          <w:iCs w:val="false"/>
          <w:caps w:val="false"/>
          <w:color w:val="000000"/>
          <w:sz w:val="21"/>
          <w:szCs w:val="21"/>
        </w:rPr>
        <w:t xml:space="preserve">La investigación diferencia entre participación formal (el Consejo Escolar existe) y participación sustantiva (las familias y el alumnado tienen influencia real en decisiones que importan). La escalera de Hart (1992) sigue siendo la referencia más citada para distinguir estas formas. Los centros con alta participación sustantiva tienen mejores resultados en clima escolar y en aprendizaje (Cf. Rudduck &amp; Flutter, 2004; Fielding, 2001).</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EBF5F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La LODE y la LOE establecen el Consejo Escolar como órgano de gobierno, no solo consultivo. En la práctica, en muchos centros concertados, el ámbito de decisión real del Consejo es limitado. Esto no es ilegal, pero es una oportunidad de mejora.</w:t>
            </w:r>
          </w:p>
        </w:tc>
      </w:tr>
    </w:tbl>
    <w:p>
      <w:pPr>
        <w:pStyle w:val="Heading2"/>
        <w:spacing w:after="120" w:before="320"/>
      </w:pPr>
      <w:r>
        <w:rPr>
          <w:rFonts w:ascii="Georgia" w:cs="Georgia" w:eastAsia="Georgia" w:hAnsi="Georgia"/>
          <w:b/>
          <w:bCs/>
          <w:color w:val="0B6157"/>
          <w:sz w:val="27"/>
          <w:szCs w:val="27"/>
        </w:rPr>
        <w:t xml:space="preserve">2.5 Liderazgo distribuido y cohesión del equipo directivo</w:t>
      </w:r>
    </w:p>
    <w:p>
      <w:pPr>
        <w:spacing w:after="100" w:before="0"/>
        <w:jc w:val="left"/>
      </w:pPr>
      <w:r>
        <w:rPr>
          <w:rFonts w:ascii="Georgia" w:cs="Georgia" w:eastAsia="Georgia" w:hAnsi="Georgia"/>
          <w:b w:val="false"/>
          <w:bCs w:val="false"/>
          <w:i w:val="false"/>
          <w:iCs w:val="false"/>
          <w:caps w:val="false"/>
          <w:color w:val="000000"/>
          <w:sz w:val="21"/>
          <w:szCs w:val="21"/>
        </w:rPr>
        <w:t xml:space="preserve">La investigación sobre escuelas efectivas (Fullan, 2001; Bolívar, 2010) muestra consistentemente que el liderazgo eficaz no es el del director individual sino el que construye capacidad colectiva. Esto requiere estructuras de comunicación interna, distribución de autoridad real (no solo de tareas) y un proyecto compartido. Los centros grandes con múltiples etapas tienen riesgo de fragmentarse en sub-organizaciones sin proyecto común.</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EBF5F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Para el NSP, con Infantil/Primaria, ESO/Bachillerato, GM y GS como cuatro sub-sistemas semiautónomos, la cohesión directiva es una cuestión crítica que el análisis desarrolla en la Parte II.</w:t>
            </w:r>
          </w:p>
        </w:tc>
      </w:tr>
    </w:tbl>
    <w:p>
      <w:pPr>
        <w:pStyle w:val="Heading2"/>
        <w:spacing w:after="120" w:before="320"/>
      </w:pPr>
      <w:r>
        <w:rPr>
          <w:rFonts w:ascii="Georgia" w:cs="Georgia" w:eastAsia="Georgia" w:hAnsi="Georgia"/>
          <w:b/>
          <w:bCs/>
          <w:color w:val="0B6157"/>
          <w:sz w:val="27"/>
          <w:szCs w:val="27"/>
        </w:rPr>
        <w:t xml:space="preserve">2.6 Sostenibilidad en contextos de declive demográfico</w:t>
      </w:r>
    </w:p>
    <w:p>
      <w:pPr>
        <w:spacing w:after="100" w:before="0"/>
        <w:jc w:val="left"/>
      </w:pPr>
      <w:r>
        <w:rPr>
          <w:rFonts w:ascii="Georgia" w:cs="Georgia" w:eastAsia="Georgia" w:hAnsi="Georgia"/>
          <w:b w:val="false"/>
          <w:bCs w:val="false"/>
          <w:i w:val="false"/>
          <w:iCs w:val="false"/>
          <w:caps w:val="false"/>
          <w:color w:val="000000"/>
          <w:sz w:val="21"/>
          <w:szCs w:val="21"/>
        </w:rPr>
        <w:t xml:space="preserve">Los estudios sobre sostenibilidad de centros concertados en España (Bernal &amp; Lorenzo, 2012; informes del Ministerio de Educación) identifican tres estrategias ante el declive demográfico: concentración (cerrar etapas deficitarias), diversificación (nuevas ofertas que no dependen del ciclo demográfico) y fusión (absorción de centros más pequeños por parte de redes con mejor posición). Los centros salesianos han optado históricamente por la combinación de diversificación (FP) y red (solidaridad de la Inspectoría).</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EBF5F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El NSP ya está diversificando hacia FP y hacia la educación temprana (aula 1-2 años). La pregunta es si lo hace con una estrategia financiera explícita o por inercia.</w:t>
            </w:r>
          </w:p>
        </w:tc>
      </w:tr>
    </w:tbl>
    <w:p>
      <w:r>
        <w:br w:type="page"/>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0B6157" w:val="clear"/>
            <w:tcMar>
              <w:top w:type="dxa" w:w="60"/>
              <w:left w:type="dxa" w:w="200"/>
              <w:bottom w:type="dxa" w:w="60"/>
              <w:right w:type="dxa" w:w="200"/>
            </w:tcMar>
            <w:vAlign w:val="top"/>
          </w:tcPr>
          <w:p>
            <w:pPr>
              <w:spacing w:after="80" w:before="0"/>
              <w:jc w:val="left"/>
            </w:pPr>
            <w:r>
              <w:rPr>
                <w:rFonts w:ascii="Arial" w:cs="Arial" w:eastAsia="Arial" w:hAnsi="Arial"/>
                <w:b/>
                <w:bCs/>
                <w:i w:val="false"/>
                <w:iCs w:val="false"/>
                <w:color w:val="FFFFFF"/>
                <w:sz w:val="19"/>
                <w:szCs w:val="19"/>
              </w:rPr>
              <w:t xml:space="preserve">PARTE II — INTERPRETACIÓN</w:t>
            </w:r>
          </w:p>
        </w:tc>
      </w:tr>
    </w:tbl>
    <w:p>
      <w:pPr>
        <w:pStyle w:val="Heading1"/>
        <w:pBdr>
          <w:bottom w:val="single" w:color="0D1B2A" w:sz="14" w:space="2"/>
        </w:pBdr>
        <w:spacing w:after="200" w:before="480"/>
      </w:pPr>
      <w:r>
        <w:rPr>
          <w:rFonts w:ascii="Georgia" w:cs="Georgia" w:eastAsia="Georgia" w:hAnsi="Georgia"/>
          <w:b/>
          <w:bCs/>
          <w:color w:val="0D1B2A"/>
          <w:sz w:val="34"/>
          <w:szCs w:val="34"/>
        </w:rPr>
        <w:t xml:space="preserve">3. LA CASA EN LA FRONTERA</w:t>
      </w:r>
    </w:p>
    <w:p>
      <w:pPr>
        <w:pStyle w:val="Heading2"/>
        <w:spacing w:after="120" w:before="320"/>
      </w:pPr>
      <w:r>
        <w:rPr>
          <w:rFonts w:ascii="Georgia" w:cs="Georgia" w:eastAsia="Georgia" w:hAnsi="Georgia"/>
          <w:b/>
          <w:bCs/>
          <w:color w:val="0B6157"/>
          <w:sz w:val="27"/>
          <w:szCs w:val="27"/>
        </w:rPr>
        <w:t xml:space="preserve">3.1 Una coincidencia significativa</w:t>
      </w:r>
    </w:p>
    <w:p>
      <w:pPr>
        <w:spacing w:after="100" w:before="0"/>
        <w:jc w:val="left"/>
      </w:pPr>
      <w:r>
        <w:rPr>
          <w:rFonts w:ascii="Georgia" w:cs="Georgia" w:eastAsia="Georgia" w:hAnsi="Georgia"/>
          <w:b w:val="false"/>
          <w:bCs w:val="false"/>
          <w:i w:val="false"/>
          <w:iCs w:val="false"/>
          <w:caps w:val="false"/>
          <w:color w:val="000000"/>
          <w:sz w:val="22"/>
          <w:szCs w:val="22"/>
        </w:rPr>
        <w:t xml:space="preserve">La denominación institucional de cualquier presencia salesiana es 'casa salesiana' (o simplemente 'la casa'). Es el término que los salesianos usan para referirse a sus obras: no 'el colegio', no 'el centro', sino 'la casa'. Esta denominación no es fortuita; refleja la pedagogía del ambiente de Don Bosco, donde la escuela no es un espacio de transmisión sino un hogar educativo.</w:t>
      </w:r>
    </w:p>
    <w:p>
      <w:pPr>
        <w:spacing w:after="100" w:before="0"/>
        <w:jc w:val="left"/>
      </w:pPr>
      <w:r>
        <w:rPr>
          <w:rFonts w:ascii="Georgia" w:cs="Georgia" w:eastAsia="Georgia" w:hAnsi="Georgia"/>
          <w:b w:val="false"/>
          <w:bCs w:val="false"/>
          <w:i w:val="false"/>
          <w:iCs w:val="false"/>
          <w:caps w:val="false"/>
          <w:color w:val="000000"/>
          <w:sz w:val="22"/>
          <w:szCs w:val="22"/>
        </w:rPr>
        <w:t xml:space="preserve">Resulta significativo que la palabra 'ecotono', que hemos utilizado como herramienta analítica para describir la posición del NSP, proceda del griego oikos (casa, hogar) y tonos (tensión, tono). Ecotono significa, literalmente, 'casa en tensión'. Una 'casa en la frontera', en un espacio de tensión entre dos mundos.</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0B6157" w:val="clear"/>
            <w:tcMar>
              <w:top w:type="dxa" w:w="140"/>
              <w:left w:type="dxa" w:w="240"/>
              <w:bottom w:type="dxa" w:w="140"/>
              <w:right w:type="dxa" w:w="240"/>
            </w:tcMar>
            <w:vAlign w:val="top"/>
          </w:tcPr>
          <w:p>
            <w:pPr>
              <w:spacing w:after="80" w:before="0"/>
              <w:jc w:val="left"/>
            </w:pPr>
            <w:r>
              <w:rPr>
                <w:rFonts w:ascii="Arial" w:cs="Arial" w:eastAsia="Arial" w:hAnsi="Arial"/>
                <w:b/>
                <w:bCs/>
                <w:i w:val="false"/>
                <w:iCs w:val="false"/>
                <w:color w:val="FFFFFF"/>
                <w:sz w:val="22"/>
                <w:szCs w:val="22"/>
              </w:rPr>
              <w:t xml:space="preserve">La 'casa salesiana' de la calle María Auxiliadora es, en el sentido más literal de la palabra, un ecotono: una casa que existe en la tensión entre Delicias y Romareda, entre la vulnerabilidad y la prosperidad, entre la periferia y el centro. Esto no es una metáfora académica impuesta desde fuera; es una descripción que coincide con la propia identidad institucional del carisma salesiano.</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3.2 El mandato de las periferias</w:t>
      </w:r>
    </w:p>
    <w:p>
      <w:pPr>
        <w:spacing w:after="100" w:before="0"/>
        <w:jc w:val="left"/>
      </w:pPr>
      <w:r>
        <w:rPr>
          <w:rFonts w:ascii="Georgia" w:cs="Georgia" w:eastAsia="Georgia" w:hAnsi="Georgia"/>
          <w:b w:val="false"/>
          <w:bCs w:val="false"/>
          <w:i w:val="false"/>
          <w:iCs w:val="false"/>
          <w:caps w:val="false"/>
          <w:color w:val="000000"/>
          <w:sz w:val="22"/>
          <w:szCs w:val="22"/>
        </w:rPr>
        <w:t xml:space="preserve">Don Bosco fundó su obra en Valdocco, un arrabal a las afueras de Turín en el siglo XIX, donde se acumulaban los jóvenes que la industrialización había expulsado del campo y que la ciudad todavía no había absorbido. No fue un accidente geográfico. Fue una elección teológica y pedagógica: la misión salesiana nace en la frontera, entre el orden establecido y el caos, entre la Iglesia y la calle.</w:t>
      </w:r>
    </w:p>
    <w:p>
      <w:pPr>
        <w:spacing w:after="100" w:before="0"/>
        <w:jc w:val="left"/>
      </w:pPr>
      <w:r>
        <w:rPr>
          <w:rFonts w:ascii="Georgia" w:cs="Georgia" w:eastAsia="Georgia" w:hAnsi="Georgia"/>
          <w:b w:val="false"/>
          <w:bCs w:val="false"/>
          <w:i w:val="false"/>
          <w:iCs w:val="false"/>
          <w:caps w:val="false"/>
          <w:color w:val="000000"/>
          <w:sz w:val="22"/>
          <w:szCs w:val="22"/>
        </w:rPr>
        <w:t xml:space="preserve">El Papa Francisco ha articulado este mandato con una claridad inusual en su Exhortación Apostólica Evangelii Gaudium (2013): la Iglesia está llamada a ser 'una Iglesia en salida', que 'sale al encuentro' en lugar de esperar que las personas entren. Francisco habla de las 'periferias geográficas' (los barrios vulnerables, los márgenes de las ciudades) y de las 'periferias existenciales' (las personas que viven en los márgenes de la sociedad: los excluidos, los solos, los abandonados del sistema).</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D1F2EB"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D1F2EB"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Cita directa de Evangelii Gaudium, n. 20 (Papa Francisco, 2013): 'La Iglesia en salida es la comunidad de discípulos misioneros que primerean, que se involucran, que acompañan, que fructifican y festejan.' La periferia, para Francisco, no es un problema a resolver sino el lugar privilegiado de la misión.</w:t>
            </w:r>
          </w:p>
        </w:tc>
      </w:tr>
    </w:tbl>
    <w:p>
      <w:pPr>
        <w:spacing w:after="0" w:before="8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Delicias tiene fronteras interiores: la frontera invisible entre el bloque de pisos de familias inmigrantes en situación precaria y el portal de en frente con vecinos con décadas de historia en el barrio; la frontera entre el joven que ha abandonado el sistema educativo y el que tiene una familia que puede acompañarle; la frontera entre quien llega al bachillerato y quien a los 16 años ya está buscando trabajo. El NSP se sitúa físicamente en la frontera exterior del barrio (entre Delicias y Romareda) y tiene la vocación de serlo también en sus fronteras interiores.</w:t>
      </w:r>
    </w:p>
    <w:p>
      <w:pPr>
        <w:spacing w:after="100" w:before="0"/>
        <w:jc w:val="left"/>
      </w:pPr>
      <w:r>
        <w:rPr>
          <w:rFonts w:ascii="Georgia" w:cs="Georgia" w:eastAsia="Georgia" w:hAnsi="Georgia"/>
          <w:b w:val="false"/>
          <w:bCs w:val="false"/>
          <w:i w:val="false"/>
          <w:iCs w:val="false"/>
          <w:caps w:val="false"/>
          <w:color w:val="000000"/>
          <w:sz w:val="22"/>
          <w:szCs w:val="22"/>
        </w:rPr>
        <w:t xml:space="preserve">Esta lectura no es una propuesta ideológica: es la descripción del propio carisma salesiano. El argumento que se ofrece a la titularidad es el siguiente: el NSP es un ecotono porque Don Bosco quiso que las casas salesianas fueran casas en la frontera. Alejarse de esa frontera —en cualquiera de sus dimensiones— no sería una decisión pragmática sino un abandono del carisma fundacional.</w:t>
      </w:r>
    </w:p>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3.3 Fortalezas y vulnerabilidades: un diagnóstico honesto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c>
          <w:tcPr>
            <w:tcW w:type="dxa" w:w="4510"/>
            <w:tcBorders>
              <w:top w:val="single" w:color="AAAAAA" w:sz="4"/>
              <w:left w:val="single" w:color="AAAAAA" w:sz="4"/>
              <w:bottom w:val="single" w:color="AAAAAA" w:sz="4"/>
              <w:right w:val="single" w:color="AAAAAA" w:sz="4"/>
            </w:tcBorders>
            <w:shd w:fill="1A6B3A" w:val="clear"/>
            <w:tcMar>
              <w:top w:type="dxa" w:w="100"/>
              <w:left w:type="dxa" w:w="140"/>
              <w:bottom w:type="dxa" w:w="100"/>
              <w:right w:type="dxa" w:w="140"/>
            </w:tcMar>
            <w:vAlign w:val="top"/>
          </w:tcPr>
          <w:p>
            <w:pPr>
              <w:spacing w:after="80" w:before="0"/>
              <w:jc w:val="center"/>
            </w:pPr>
            <w:r>
              <w:rPr>
                <w:rFonts w:ascii="Arial" w:cs="Arial" w:eastAsia="Arial" w:hAnsi="Arial"/>
                <w:b/>
                <w:bCs/>
                <w:i w:val="false"/>
                <w:iCs w:val="false"/>
                <w:color w:val="FFFFFF"/>
                <w:sz w:val="20"/>
                <w:szCs w:val="20"/>
              </w:rPr>
              <w:t xml:space="preserve">FORTALEZAS</w:t>
            </w:r>
          </w:p>
        </w:tc>
        <w:tc>
          <w:tcPr>
            <w:tcW w:type="dxa" w:w="4510"/>
            <w:tcBorders>
              <w:top w:val="single" w:color="AAAAAA" w:sz="4"/>
              <w:left w:val="single" w:color="AAAAAA" w:sz="4"/>
              <w:bottom w:val="single" w:color="AAAAAA" w:sz="4"/>
              <w:right w:val="single" w:color="AAAAAA" w:sz="4"/>
            </w:tcBorders>
            <w:shd w:fill="8B2500" w:val="clear"/>
            <w:tcMar>
              <w:top w:type="dxa" w:w="100"/>
              <w:left w:type="dxa" w:w="140"/>
              <w:bottom w:type="dxa" w:w="100"/>
              <w:right w:type="dxa" w:w="140"/>
            </w:tcMar>
            <w:vAlign w:val="top"/>
          </w:tcPr>
          <w:p>
            <w:pPr>
              <w:spacing w:after="80" w:before="0"/>
              <w:jc w:val="center"/>
            </w:pPr>
            <w:r>
              <w:rPr>
                <w:rFonts w:ascii="Arial" w:cs="Arial" w:eastAsia="Arial" w:hAnsi="Arial"/>
                <w:b/>
                <w:bCs/>
                <w:i w:val="false"/>
                <w:iCs w:val="false"/>
                <w:color w:val="FFFFFF"/>
                <w:sz w:val="20"/>
                <w:szCs w:val="20"/>
              </w:rPr>
              <w:t xml:space="preserve">VULNERABILIDADES</w:t>
            </w:r>
          </w:p>
        </w:tc>
      </w:tr>
      <w:tr>
        <w:tc>
          <w:tcPr>
            <w:tcW w:type="dxa" w:w="451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Patrimonio en propiedad (congregación). Sin costes de alquiler. Horizonte temporal multigeneracional.</w:t>
            </w:r>
          </w:p>
        </w:tc>
        <w:tc>
          <w:tcPr>
            <w:tcW w:type="dxa" w:w="4510"/>
            <w:tcBorders>
              <w:top w:val="single" w:color="AAAAAA" w:sz="4"/>
              <w:left w:val="single" w:color="AAAAAA" w:sz="4"/>
              <w:bottom w:val="single" w:color="AAAAAA" w:sz="4"/>
              <w:right w:val="single" w:color="AAAAAA" w:sz="4"/>
            </w:tcBorders>
            <w:shd w:fill="F7F7F7"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Demografía congregacional: pocos salesianos sacerdotes o coadjutores disponibles para cubrir el rol del Director de la Casa. El modelo dual de gobierno tiene los días contados.</w:t>
            </w:r>
          </w:p>
        </w:tc>
      </w:tr>
      <w:tr>
        <w:tc>
          <w:tcPr>
            <w:tcW w:type="dxa" w:w="4510"/>
            <w:tcBorders>
              <w:top w:val="single" w:color="AAAAAA" w:sz="4"/>
              <w:left w:val="single" w:color="AAAAAA" w:sz="4"/>
              <w:bottom w:val="single" w:color="AAAAAA" w:sz="4"/>
              <w:right w:val="single" w:color="AAAAAA" w:sz="4"/>
            </w:tcBorders>
            <w:shd w:fill="E9F7EF"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FP técnica con 10+ ciclos y FP Dual bien establecida. Ventaja de décadas frente a competidores nuevos.</w:t>
            </w:r>
          </w:p>
        </w:tc>
        <w:tc>
          <w:tcPr>
            <w:tcW w:type="dxa" w:w="4510"/>
            <w:tcBorders>
              <w:top w:val="single" w:color="AAAAAA" w:sz="4"/>
              <w:left w:val="single" w:color="AAAAAA" w:sz="4"/>
              <w:bottom w:val="single" w:color="AAAAAA" w:sz="4"/>
              <w:right w:val="single" w:color="AAAAAA" w:sz="4"/>
            </w:tcBorders>
            <w:shd w:fill="FDEDEC"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La nueva inversión pública en FP (DAT Alierta, Campus Digital) replicará parte de esa oferta con financiación estatal.</w:t>
            </w:r>
          </w:p>
        </w:tc>
      </w:tr>
      <w:tr>
        <w:tc>
          <w:tcPr>
            <w:tcW w:type="dxa" w:w="451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Red de acción social integrada (PAE El Pilar, ATès Zaragoza, Centro Juvenil). Capacidad de trabajo con jóvenes excluidos que el sistema público no tiene.</w:t>
            </w:r>
          </w:p>
        </w:tc>
        <w:tc>
          <w:tcPr>
            <w:tcW w:type="dxa" w:w="4510"/>
            <w:tcBorders>
              <w:top w:val="single" w:color="AAAAAA" w:sz="4"/>
              <w:left w:val="single" w:color="AAAAAA" w:sz="4"/>
              <w:bottom w:val="single" w:color="AAAAAA" w:sz="4"/>
              <w:right w:val="single" w:color="AAAAAA" w:sz="4"/>
            </w:tcBorders>
            <w:shd w:fill="F7F7F7"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La plataforma social no está formalmente integrada en el PEC ni en las métricas de éxito del centro. Funciona en paralelo.</w:t>
            </w:r>
          </w:p>
        </w:tc>
      </w:tr>
      <w:tr>
        <w:tc>
          <w:tcPr>
            <w:tcW w:type="dxa" w:w="4510"/>
            <w:tcBorders>
              <w:top w:val="single" w:color="AAAAAA" w:sz="4"/>
              <w:left w:val="single" w:color="AAAAAA" w:sz="4"/>
              <w:bottom w:val="single" w:color="AAAAAA" w:sz="4"/>
              <w:right w:val="single" w:color="AAAAAA" w:sz="4"/>
            </w:tcBorders>
            <w:shd w:fill="E9F7EF"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Capital relacional acumulado: 85 años de presencia en el barrio. Red de exalumnos. Conexión empresarial.</w:t>
            </w:r>
          </w:p>
        </w:tc>
        <w:tc>
          <w:tcPr>
            <w:tcW w:type="dxa" w:w="4510"/>
            <w:tcBorders>
              <w:top w:val="single" w:color="AAAAAA" w:sz="4"/>
              <w:left w:val="single" w:color="AAAAAA" w:sz="4"/>
              <w:bottom w:val="single" w:color="AAAAAA" w:sz="4"/>
              <w:right w:val="single" w:color="AAAAAA" w:sz="4"/>
            </w:tcBorders>
            <w:shd w:fill="FDEDEC"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Riesgo de pérdida del flujo de alumnado de bachillerato procedente de Claretianos, Josefinas y Moncayo, si estos obtienen concierto propio.</w:t>
            </w:r>
          </w:p>
        </w:tc>
      </w:tr>
      <w:tr>
        <w:tc>
          <w:tcPr>
            <w:tcW w:type="dxa" w:w="4510"/>
            <w:tcBorders>
              <w:top w:val="single" w:color="AAAAAA" w:sz="4"/>
              <w:left w:val="single" w:color="AAAAAA" w:sz="4"/>
              <w:bottom w:val="single" w:color="AAAAAA" w:sz="4"/>
              <w:right w:val="single" w:color="AAAAAA" w:sz="4"/>
            </w:tcBorders>
            <w:shd w:fill="FFFFFF"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Solidaridad de la Inspectoría SMX: red de 59 centros que puede apoyar financieramente y estratégicamente.</w:t>
            </w:r>
          </w:p>
        </w:tc>
        <w:tc>
          <w:tcPr>
            <w:tcW w:type="dxa" w:w="4510"/>
            <w:tcBorders>
              <w:top w:val="single" w:color="AAAAAA" w:sz="4"/>
              <w:left w:val="single" w:color="AAAAAA" w:sz="4"/>
              <w:bottom w:val="single" w:color="AAAAAA" w:sz="4"/>
              <w:right w:val="single" w:color="AAAAAA" w:sz="4"/>
            </w:tcBorders>
            <w:shd w:fill="F7F7F7"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El Consejo Escolar cumple formalmente pero no hay evidencia de que tenga impacto real en decisiones estratégicas del centro.</w:t>
            </w:r>
          </w:p>
        </w:tc>
      </w:tr>
      <w:tr>
        <w:tc>
          <w:tcPr>
            <w:tcW w:type="dxa" w:w="4510"/>
            <w:tcBorders>
              <w:top w:val="single" w:color="AAAAAA" w:sz="4"/>
              <w:left w:val="single" w:color="AAAAAA" w:sz="4"/>
              <w:bottom w:val="single" w:color="AAAAAA" w:sz="4"/>
              <w:right w:val="single" w:color="AAAAAA" w:sz="4"/>
            </w:tcBorders>
            <w:shd w:fill="E9F7EF"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Bachillerato Dual Americano como oferta diferenciada y premium que no puede replicarse fácilmente.</w:t>
            </w:r>
          </w:p>
        </w:tc>
        <w:tc>
          <w:tcPr>
            <w:tcW w:type="dxa" w:w="4510"/>
            <w:tcBorders>
              <w:top w:val="single" w:color="AAAAAA" w:sz="4"/>
              <w:left w:val="single" w:color="AAAAAA" w:sz="4"/>
              <w:bottom w:val="single" w:color="AAAAAA" w:sz="4"/>
              <w:right w:val="single" w:color="AAAAAA" w:sz="4"/>
            </w:tcBorders>
            <w:shd w:fill="FDEDEC" w:val="clear"/>
            <w:tcMar>
              <w:top w:type="dxa" w:w="90"/>
              <w:left w:type="dxa" w:w="140"/>
              <w:bottom w:type="dxa" w:w="9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Ausencia de datos publicados de composición socioeconómica del alumnado por etapas: no se puede saber si el ecotono está sano o en proceso de cierre.</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3.4 Cohesión del equipo directivo: un factor crítico</w:t>
      </w:r>
    </w:p>
    <w:p>
      <w:pPr>
        <w:spacing w:after="100" w:before="0"/>
        <w:jc w:val="left"/>
      </w:pPr>
      <w:r>
        <w:rPr>
          <w:rFonts w:ascii="Georgia" w:cs="Georgia" w:eastAsia="Georgia" w:hAnsi="Georgia"/>
          <w:b w:val="false"/>
          <w:bCs w:val="false"/>
          <w:i w:val="false"/>
          <w:iCs w:val="false"/>
          <w:caps w:val="false"/>
          <w:color w:val="000000"/>
          <w:sz w:val="22"/>
          <w:szCs w:val="22"/>
        </w:rPr>
        <w:t xml:space="preserve">Un colegio con 1.600 alumnos, cuatro grandes sub-sistemas educativos (Infantil/Primaria, Secundaria/Bachillerato, FP Grado Medio, FP Grado Superior) y una estructura de gobierno dual (Director de la Casa + Directora del Colegio) es, organizativamente, un conjunto de organizaciones en peligro permanente de fragmentación.</w:t>
      </w:r>
    </w:p>
    <w:p>
      <w:pPr>
        <w:spacing w:after="100" w:before="0"/>
        <w:jc w:val="left"/>
      </w:pPr>
      <w:r>
        <w:rPr>
          <w:rFonts w:ascii="Georgia" w:cs="Georgia" w:eastAsia="Georgia" w:hAnsi="Georgia"/>
          <w:b w:val="false"/>
          <w:bCs w:val="false"/>
          <w:i w:val="false"/>
          <w:iCs w:val="false"/>
          <w:caps w:val="false"/>
          <w:color w:val="000000"/>
          <w:sz w:val="22"/>
          <w:szCs w:val="22"/>
        </w:rPr>
        <w:t xml:space="preserve">La investigación sobre escuelas efectivas identifica el 'colegio fragmentado' como uno de los principales patrones de deterioro institucional: etapas que funcionan como islas con culturas, metodologías y prioridades distintas; equipos directivos que se comunican poco entre sí; personal que no sabe qué ocurre en otras partes del centro. El resultado no es el caos visible sino la pérdida silenciosa de identidad y de coherencia educativa.</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FEF9E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FEF9E7"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El peligro más inmediato para la cohesión del NSP es la coexistencia sin coordinación explícita de tres mundos muy distintos: la FP (con su lógica de inserción laboral y empresa), el Bachillerato (con su lógica de rendimiento académico y acceso a la universidad) y la Primaria/Infantil (con su lógica formativa de base). Cada uno puede tener su propia cultura, sus propios indicadores de éxito y su propia idea de lo que el colegio es. Si el equipo directivo no los unifica en torno a un proyecto compartido, el centro pierde coherencia antes de que nadie lo note.</w:t>
            </w:r>
          </w:p>
        </w:tc>
      </w:tr>
    </w:tbl>
    <w:p>
      <w:pPr>
        <w:spacing w:after="0" w:before="8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La doble cadena de mando (Director de la Casa / Directora del Colegio) es estructuralmente correcta en el modelo salesiano y legalmente compatible con la LODE, que reconoce el derecho de los titulares a definir el carácter propio del centro. Pero requiere protocolos claros de reparto de competencias y un espacio formal de coordinación (que en el modelo salesiano debería ser la Comunidad Educativo-Pastoral, CEP) para que no se convierta en una fuente de ambigüedad.</w:t>
      </w:r>
    </w:p>
    <w:p>
      <w:pPr>
        <w:spacing w:after="100" w:before="0"/>
        <w:jc w:val="left"/>
      </w:pPr>
      <w:r>
        <w:rPr>
          <w:rFonts w:ascii="Georgia" w:cs="Georgia" w:eastAsia="Georgia" w:hAnsi="Georgia"/>
          <w:b w:val="false"/>
          <w:bCs w:val="false"/>
          <w:i w:val="false"/>
          <w:iCs w:val="false"/>
          <w:caps w:val="false"/>
          <w:color w:val="000000"/>
          <w:sz w:val="22"/>
          <w:szCs w:val="22"/>
        </w:rPr>
        <w:t xml:space="preserve">La titularidad tiene aquí un papel irremplazable: no como jerarquía que impone, sino como garante del proyecto y árbitro del conflicto cuando la dirección laica y la congregacional perciben prioridades distintas. El Director de la Casa, como sacerdote salesiano, encarna esa función de garante del carisma que ningún gestor laico, por comprometido que esté, puede ejercer con la misma legitimidad institucional.</w:t>
      </w:r>
    </w:p>
    <w:p>
      <w:r>
        <w:br w:type="page"/>
      </w:r>
    </w:p>
    <w:p>
      <w:pPr>
        <w:pStyle w:val="Heading1"/>
        <w:pBdr>
          <w:bottom w:val="single" w:color="0D1B2A" w:sz="14" w:space="2"/>
        </w:pBdr>
        <w:spacing w:after="200" w:before="480"/>
      </w:pPr>
      <w:r>
        <w:rPr>
          <w:rFonts w:ascii="Georgia" w:cs="Georgia" w:eastAsia="Georgia" w:hAnsi="Georgia"/>
          <w:b/>
          <w:bCs/>
          <w:color w:val="0D1B2A"/>
          <w:sz w:val="34"/>
          <w:szCs w:val="34"/>
        </w:rPr>
        <w:t xml:space="preserve">4. TRES ESCENARIOS 2026-2035</w:t>
      </w:r>
    </w:p>
    <w:p>
      <w:pPr>
        <w:spacing w:after="100" w:before="0"/>
        <w:jc w:val="left"/>
      </w:pPr>
      <w:r>
        <w:rPr>
          <w:rFonts w:ascii="Georgia" w:cs="Georgia" w:eastAsia="Georgia" w:hAnsi="Georgia"/>
          <w:b w:val="false"/>
          <w:bCs w:val="false"/>
          <w:i w:val="false"/>
          <w:iCs w:val="false"/>
          <w:caps w:val="false"/>
          <w:color w:val="000000"/>
          <w:sz w:val="22"/>
          <w:szCs w:val="22"/>
        </w:rPr>
        <w:t xml:space="preserve">Los escenarios no son predicciones; son instrumentos de planificación. Su utilidad no está en adivinar el futuro sino en identificar qué decisiones de hoy hacen más o menos probable cada uno.</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1A6B3A" w:val="clear"/>
            <w:tcMar>
              <w:top w:type="dxa" w:w="140"/>
              <w:left w:type="dxa" w:w="240"/>
              <w:bottom w:type="dxa" w:w="140"/>
              <w:right w:type="dxa" w:w="240"/>
            </w:tcMar>
            <w:vAlign w:val="top"/>
          </w:tcPr>
          <w:p>
            <w:pPr>
              <w:spacing w:after="80" w:before="0"/>
              <w:jc w:val="left"/>
            </w:pPr>
            <w:r>
              <w:rPr>
                <w:rFonts w:ascii="Arial" w:cs="Arial" w:eastAsia="Arial" w:hAnsi="Arial"/>
                <w:b/>
                <w:bCs/>
                <w:i w:val="false"/>
                <w:iCs w:val="false"/>
                <w:color w:val="FFFFFF"/>
                <w:sz w:val="22"/>
                <w:szCs w:val="22"/>
              </w:rPr>
              <w:t xml:space="preserve">A — EL NSP COMO CASA SALESIANA EN LA FRONTERA  ·  Probabilidad hoy: MEDIA  ·  Deseabilidad: ALTA</w:t>
            </w:r>
          </w:p>
        </w:tc>
      </w:tr>
    </w:tbl>
    <w:p>
      <w:pPr>
        <w:spacing w:after="0" w:before="8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El centro mantiene y refuerza su identidad de 'casa en la frontera': diversidad socioeconómica real en el alumnado, FP técnica de calidad contrastada con alta inserción laboral, plataforma social integrada en el proyecto educativo. La titularidad ejerce activamente su función de garante del carisma. La dirección laica traduce ese carisma en decisiones operativas. La pérdida de flujo de bachillerato procedente de centros sin bachillerato se compensa con mayor calidad y diferenciación de la oferta.</w:t>
      </w:r>
    </w:p>
    <w:p>
      <w:pPr>
        <w:spacing w:after="100" w:before="0"/>
        <w:jc w:val="left"/>
      </w:pPr>
      <w:r>
        <w:rPr>
          <w:rFonts w:ascii="Georgia" w:cs="Georgia" w:eastAsia="Georgia" w:hAnsi="Georgia"/>
          <w:b w:val="false"/>
          <w:bCs w:val="false"/>
          <w:i w:val="false"/>
          <w:iCs w:val="false"/>
          <w:caps w:val="false"/>
          <w:color w:val="000000"/>
          <w:sz w:val="22"/>
          <w:szCs w:val="22"/>
        </w:rPr>
        <w:t xml:space="preserve">Para que este escenario sea posible se requiere: un proceso formal de revisión del PEC que integre a los cuatro subsistemas educativos; la formalización de la conexión entre el colegio y el PAE/ATès; una estrategia explícita de mantenimiento de la diversidad socioeconómica del alumnado (dentro del marco legal de la escolarización equilibrada del art. 87 LOMLOE); y una planificación financiera que anticipe la caída del flujo de bachillerato y el declive demográfico.</w:t>
      </w:r>
    </w:p>
    <w:p>
      <w:pPr>
        <w:spacing w:after="0" w:before="8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9A6800" w:val="clear"/>
            <w:tcMar>
              <w:top w:type="dxa" w:w="140"/>
              <w:left w:type="dxa" w:w="240"/>
              <w:bottom w:type="dxa" w:w="140"/>
              <w:right w:type="dxa" w:w="240"/>
            </w:tcMar>
            <w:vAlign w:val="top"/>
          </w:tcPr>
          <w:p>
            <w:pPr>
              <w:spacing w:after="80" w:before="0"/>
              <w:jc w:val="left"/>
            </w:pPr>
            <w:r>
              <w:rPr>
                <w:rFonts w:ascii="Arial" w:cs="Arial" w:eastAsia="Arial" w:hAnsi="Arial"/>
                <w:b/>
                <w:bCs/>
                <w:i w:val="false"/>
                <w:iCs w:val="false"/>
                <w:color w:val="FFFFFF"/>
                <w:sz w:val="22"/>
                <w:szCs w:val="22"/>
              </w:rPr>
              <w:t xml:space="preserve">B — DERIVA HACIA EL MERCADO CONCERTADO PREMIUM  ·  Probabilidad hoy: ALTA  ·  Deseabilidad: BAJA</w:t>
            </w:r>
          </w:p>
        </w:tc>
      </w:tr>
    </w:tbl>
    <w:p>
      <w:pPr>
        <w:spacing w:after="0" w:before="8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El bachillerato dual y los programas de excelencia atraen progresivamente a familias de mayor poder adquisitivo de la Romareda y zonas próximas. La FP se mantiene, pero los ciclos con más demanda son los más técnicos y los que atraen a alumnado con mayor capital cultural. La plataforma social (ATès, PAE) subsiste pero pierde conexión con el proyecto central del colegio. El perfil del alumnado se homogeneiza hacia clases medias. En 10 años, el NSP es un buen colegio concertado sin nada especialmente diferente de otros centros de su entorno.</w:t>
      </w:r>
    </w:p>
    <w:p>
      <w:pPr>
        <w:spacing w:after="100" w:before="0"/>
        <w:jc w:val="left"/>
      </w:pPr>
      <w:r>
        <w:rPr>
          <w:rFonts w:ascii="Georgia" w:cs="Georgia" w:eastAsia="Georgia" w:hAnsi="Georgia"/>
          <w:b w:val="false"/>
          <w:bCs w:val="false"/>
          <w:i w:val="false"/>
          <w:iCs w:val="false"/>
          <w:caps w:val="false"/>
          <w:color w:val="000000"/>
          <w:sz w:val="22"/>
          <w:szCs w:val="22"/>
        </w:rPr>
        <w:t xml:space="preserve">Este escenario no requiere ninguna decisión explícita. Se produce por inercia: pequeñas decisiones de marketing, de oferta, de perfil de las actividades extraescolares que, acumuladas, reorientan el centro sin que nadie lo haya decidido formalmente. Es el escenario más probable precisamente porque no hay que hacer nada para que ocurra.</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FEF9E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FEF9E7"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Para la titularidad salesiana, este escenario plantea una pregunta de carisma: ¿puede la Congregación Salesiana sostener financieramente una obra que abandona la opción preferencial por los jóvenes más vulnerables, aunque esa obra sea rentable? La respuesta que el carisma salesiano da históricamente es no. El Director de la Casa tiene la autoridad y la responsabilidad de señalar esta deriva cuando la detecte.</w:t>
            </w:r>
          </w:p>
        </w:tc>
      </w:tr>
    </w:tbl>
    <w:p>
      <w:pPr>
        <w:spacing w:after="0" w:before="8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8B2500" w:val="clear"/>
            <w:tcMar>
              <w:top w:type="dxa" w:w="140"/>
              <w:left w:type="dxa" w:w="240"/>
              <w:bottom w:type="dxa" w:w="140"/>
              <w:right w:type="dxa" w:w="240"/>
            </w:tcMar>
            <w:vAlign w:val="top"/>
          </w:tcPr>
          <w:p>
            <w:pPr>
              <w:spacing w:after="80" w:before="0"/>
              <w:jc w:val="left"/>
            </w:pPr>
            <w:r>
              <w:rPr>
                <w:rFonts w:ascii="Arial" w:cs="Arial" w:eastAsia="Arial" w:hAnsi="Arial"/>
                <w:b/>
                <w:bCs/>
                <w:i w:val="false"/>
                <w:iCs w:val="false"/>
                <w:color w:val="FFFFFF"/>
                <w:sz w:val="22"/>
                <w:szCs w:val="22"/>
              </w:rPr>
              <w:t xml:space="preserve">C — CRISIS CONGREGACIONAL Y REFUNDACIÓN  ·  Probabilidad hoy: MEDIA  ·  Deseabilidad: INCIERTA</w:t>
            </w:r>
          </w:p>
        </w:tc>
      </w:tr>
    </w:tbl>
    <w:p>
      <w:pPr>
        <w:spacing w:after="0" w:before="80"/>
      </w:pPr>
      <w:r>
        <w:t xml:space="preserve"> </w:t>
      </w:r>
    </w:p>
    <w:p>
      <w:pPr>
        <w:spacing w:after="100" w:before="0"/>
        <w:jc w:val="left"/>
      </w:pPr>
      <w:r>
        <w:rPr>
          <w:rFonts w:ascii="Georgia" w:cs="Georgia" w:eastAsia="Georgia" w:hAnsi="Georgia"/>
          <w:b w:val="false"/>
          <w:bCs w:val="false"/>
          <w:i w:val="false"/>
          <w:iCs w:val="false"/>
          <w:caps w:val="false"/>
          <w:color w:val="000000"/>
          <w:sz w:val="22"/>
          <w:szCs w:val="22"/>
        </w:rPr>
        <w:t xml:space="preserve">Una crisis en la gestión de la transición congregacional —ya sea por un cambio brusco en el Director de la Casa sin proceso de relevo planificado, por un conflicto entre la dirección laica y la Inspectoría, o por dificultades financieras derivadas de la caída del bachillerato— fuerza una revisión profunda del modelo. Si esa revisión se hace con participación real de la comunidad educativa y con honestidad sobre la identidad del centro, puede producir un centro más cohesionado y más explícitamente comprometido con su misión. Si se hace bajo presión y mirando solo al corto plazo, puede producir lo contrario.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20"/>
        <w:gridCol w:w="240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Escenario</w:t>
            </w:r>
          </w:p>
        </w:tc>
        <w:tc>
          <w:tcPr>
            <w:tcW w:type="dxa" w:w="23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Rol de la titularidad</w:t>
            </w:r>
          </w:p>
        </w:tc>
        <w:tc>
          <w:tcPr>
            <w:tcW w:type="dxa" w:w="23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Rol del equipo directivo laico</w:t>
            </w:r>
          </w:p>
        </w:tc>
        <w:tc>
          <w:tcPr>
            <w:tcW w:type="dxa" w:w="24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Condición crítica</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 — Casa en la frontera</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Garante activo del carisma; usa el PMC para transmitir la misión; apoya financieramente la plataforma social</w:t>
            </w:r>
          </w:p>
        </w:tc>
        <w:tc>
          <w:tcPr>
            <w:tcW w:type="dxa" w:w="23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Traduce el carisma en proyectos concretos; gestiona la complejidad organizativa; mantiene la cohesión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PEC revisado, diversidad del alumnado como métrica, cohesión del equipo directivo</w:t>
            </w:r>
          </w:p>
        </w:tc>
      </w:tr>
      <w:tr>
        <w:trPr>
          <w:tblHeader w:val="false"/>
        </w:trPr>
        <w:tc>
          <w:tcPr>
            <w:tcW w:type="dxa" w:w="20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 — Deriva premium</w:t>
            </w:r>
          </w:p>
        </w:tc>
        <w:tc>
          <w:tcPr>
            <w:tcW w:type="dxa" w:w="23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No interviene; acepta la reorientación por inercia o por presión financiera</w:t>
            </w:r>
          </w:p>
        </w:tc>
        <w:tc>
          <w:tcPr>
            <w:tcW w:type="dxa" w:w="23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Prioriza la viabilidad a corto plazo sobre la misión; orienta la oferta hacia familias con mayor poder adquisitivo</w:t>
            </w:r>
          </w:p>
        </w:tc>
        <w:tc>
          <w:tcPr>
            <w:tcW w:type="dxa" w:w="2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Ausencia de indicadores de diversidad; plataforma social sin integración en el proyecto central</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 — Crisis y refundación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Tiene que tomar decisiones con poco tiempo y mucha presión; el riesgo es que prime la supervivencia sobre el carisma</w:t>
            </w:r>
          </w:p>
        </w:tc>
        <w:tc>
          <w:tcPr>
            <w:tcW w:type="dxa" w:w="23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Puede ser parte de la crisis o parte de la solución, según la cohesión del equipo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Plan de contingencia sobre el modelo de gobierno; relaciones consolidadas con la Inspectoría</w:t>
            </w:r>
          </w:p>
        </w:tc>
      </w:tr>
    </w:tbl>
    <w:p>
      <w:r>
        <w:br w:type="page"/>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1A6B3A" w:val="clear"/>
            <w:tcMar>
              <w:top w:type="dxa" w:w="60"/>
              <w:left w:type="dxa" w:w="200"/>
              <w:bottom w:type="dxa" w:w="60"/>
              <w:right w:type="dxa" w:w="200"/>
            </w:tcMar>
            <w:vAlign w:val="top"/>
          </w:tcPr>
          <w:p>
            <w:pPr>
              <w:spacing w:after="80" w:before="0"/>
              <w:jc w:val="left"/>
            </w:pPr>
            <w:r>
              <w:rPr>
                <w:rFonts w:ascii="Arial" w:cs="Arial" w:eastAsia="Arial" w:hAnsi="Arial"/>
                <w:b/>
                <w:bCs/>
                <w:i w:val="false"/>
                <w:iCs w:val="false"/>
                <w:color w:val="FFFFFF"/>
                <w:sz w:val="19"/>
                <w:szCs w:val="19"/>
              </w:rPr>
              <w:t xml:space="preserve">PARTE III — PROPUESTA</w:t>
            </w:r>
          </w:p>
        </w:tc>
      </w:tr>
    </w:tbl>
    <w:p>
      <w:pPr>
        <w:pStyle w:val="Heading1"/>
        <w:pBdr>
          <w:bottom w:val="single" w:color="0D1B2A" w:sz="14" w:space="2"/>
        </w:pBdr>
        <w:spacing w:after="200" w:before="480"/>
      </w:pPr>
      <w:r>
        <w:rPr>
          <w:rFonts w:ascii="Georgia" w:cs="Georgia" w:eastAsia="Georgia" w:hAnsi="Georgia"/>
          <w:b/>
          <w:bCs/>
          <w:color w:val="0D1B2A"/>
          <w:sz w:val="34"/>
          <w:szCs w:val="34"/>
        </w:rPr>
        <w:t xml:space="preserve">5. PROPUESTAS DE ACCIÓN</w:t>
      </w:r>
    </w:p>
    <w:p>
      <w:pPr>
        <w:spacing w:after="100" w:before="0"/>
        <w:jc w:val="left"/>
      </w:pPr>
      <w:r>
        <w:rPr>
          <w:rFonts w:ascii="Georgia" w:cs="Georgia" w:eastAsia="Georgia" w:hAnsi="Georgia"/>
          <w:b w:val="false"/>
          <w:bCs w:val="false"/>
          <w:i w:val="false"/>
          <w:iCs w:val="false"/>
          <w:caps w:val="false"/>
          <w:color w:val="000000"/>
          <w:sz w:val="22"/>
          <w:szCs w:val="22"/>
        </w:rPr>
        <w:t xml:space="preserve">Las propuestas que se presentan derivan del análisis y la interpretación previos. Se ordenan por ámbito y se indica expresamente el fundamento normativo o empírico cuando existe. Donde no lo hay, se señala que se trata de una recomendación de buenas prácticas.</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200"/>
        <w:gridCol w:w="8820"/>
      </w:tblGrid>
      <w:tr>
        <w:tc>
          <w:tcPr>
            <w:tcW w:type="dxa" w:w="200"/>
            <w:tcBorders>
              <w:top w:val="none" w:color="FFFFFF" w:sz="0"/>
              <w:left w:val="none" w:color="FFFFFF" w:sz="0"/>
              <w:bottom w:val="none" w:color="FFFFFF" w:sz="0"/>
              <w:right w:val="none" w:color="FFFFFF" w:sz="0"/>
            </w:tcBorders>
            <w:shd w:fill="FEF9E7" w:val="clear"/>
            <w:tcMar>
              <w:top w:type="dxa" w:w="80"/>
              <w:left w:type="dxa" w:w="140"/>
              <w:bottom w:type="dxa" w:w="80"/>
              <w:right w:type="dxa" w:w="14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 </w:t>
            </w:r>
          </w:p>
        </w:tc>
        <w:tc>
          <w:tcPr>
            <w:tcW w:type="dxa" w:w="8820"/>
            <w:tcBorders>
              <w:top w:val="none" w:color="FFFFFF" w:sz="0"/>
              <w:left w:val="none" w:color="FFFFFF" w:sz="0"/>
              <w:bottom w:val="none" w:color="FFFFFF" w:sz="0"/>
              <w:right w:val="none" w:color="FFFFFF" w:sz="0"/>
            </w:tcBorders>
            <w:shd w:fill="FEF9E7" w:val="clear"/>
            <w:tcMar>
              <w:top w:type="dxa" w:w="100"/>
              <w:left w:type="dxa" w:w="180"/>
              <w:bottom w:type="dxa" w:w="100"/>
              <w:right w:type="dxa" w:w="180"/>
            </w:tcMar>
            <w:vAlign w:val="top"/>
          </w:tcPr>
          <w:p>
            <w:pPr>
              <w:spacing w:after="80" w:before="0"/>
              <w:jc w:val="left"/>
            </w:pPr>
            <w:r>
              <w:rPr>
                <w:rFonts w:ascii="Georgia" w:cs="Georgia" w:eastAsia="Georgia" w:hAnsi="Georgia"/>
                <w:b w:val="false"/>
                <w:bCs w:val="false"/>
                <w:i/>
                <w:iCs/>
                <w:caps w:val="false"/>
                <w:color w:val="000000"/>
                <w:sz w:val="20"/>
                <w:szCs w:val="20"/>
              </w:rPr>
              <w:t xml:space="preserve">AVISO: Algunas propuestas anteriores de este documento han sido revisadas o eliminadas porque, o bien no están en el ámbito de competencia del centro (p.ej., establecer cuotas de alumnado vulnerable: esto lo regula el Decreto 57/2024 del Gobierno de Aragón, no el centro), o bien requieren datos que el centro no tiene todavía. Las propuestas que siguen son acciones dentro del ámbito legal y organizativo del centro.</w:t>
            </w:r>
          </w:p>
        </w:tc>
      </w:tr>
    </w:tbl>
    <w:p>
      <w:pPr>
        <w:spacing w:after="0" w:before="80"/>
      </w:pPr>
      <w:r>
        <w:t xml:space="preserve"> </w:t>
      </w:r>
    </w:p>
    <w:p>
      <w:pPr>
        <w:pStyle w:val="Heading2"/>
        <w:spacing w:after="120" w:before="320"/>
      </w:pPr>
      <w:r>
        <w:rPr>
          <w:rFonts w:ascii="Georgia" w:cs="Georgia" w:eastAsia="Georgia" w:hAnsi="Georgia"/>
          <w:b/>
          <w:bCs/>
          <w:color w:val="0B6157"/>
          <w:sz w:val="27"/>
          <w:szCs w:val="27"/>
        </w:rPr>
        <w:t xml:space="preserve">5.1 Sostenibilidad financiera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1100"/>
        <w:gridCol w:w="2020"/>
      </w:tblGrid>
      <w:tr>
        <w:trPr>
          <w:tblHeader/>
        </w:trPr>
        <w:tc>
          <w:tcPr>
            <w:tcW w:type="dxa" w:w="34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Propuesta</w:t>
            </w:r>
          </w:p>
        </w:tc>
        <w:tc>
          <w:tcPr>
            <w:tcW w:type="dxa" w:w="25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Fundamento</w:t>
            </w:r>
          </w:p>
        </w:tc>
        <w:tc>
          <w:tcPr>
            <w:tcW w:type="dxa" w:w="11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Plazo</w:t>
            </w:r>
          </w:p>
        </w:tc>
        <w:tc>
          <w:tcPr>
            <w:tcW w:type="dxa" w:w="20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Quién decide</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Modelizar internamente el impacto financiero de la nueva concertación de bachillerato en centros competidores. Tres escenarios: mantiene el 100% del flujo; pierde el 30%; pierde el 50%.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Prudencia financiera básica ante un cambio de contexto conocido.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Inmediato (curso 25-26)</w:t>
            </w:r>
          </w:p>
        </w:tc>
        <w:tc>
          <w:tcPr>
            <w:tcW w:type="dxa" w:w="2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Administrador + Directora Colegio + Inspectoría</w:t>
            </w:r>
          </w:p>
        </w:tc>
      </w:tr>
      <w:tr>
        <w:trPr>
          <w:tblHeader w:val="false"/>
        </w:trPr>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Publicar voluntariamente una memoria económica simplificada para la comunidad educativa (datos del concierto, distribución del presupuesto, inversiones previstas). La Ley 19/2013 de Transparencia recomienda esta práctica para entidades con financiación pública.</w:t>
            </w:r>
          </w:p>
        </w:tc>
        <w:tc>
          <w:tcPr>
            <w:tcW w:type="dxa" w:w="25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Art. 3.2 Ley 19/2013 (transparencia en entidades con fondos públicos)</w:t>
            </w:r>
          </w:p>
        </w:tc>
        <w:tc>
          <w:tcPr>
            <w:tcW w:type="dxa" w:w="11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Medio plazo (1-2 años)</w:t>
            </w:r>
          </w:p>
        </w:tc>
        <w:tc>
          <w:tcPr>
            <w:tcW w:type="dxa" w:w="2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Titularidad + Administrador</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Diversificar la oferta de FP hacia ciclos con alta demanda y difícil replicación pública a corto plazo (mecatrónica, ciberseguridad, desarrollo de software).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LO 3/2022 + RD 659/2023: la nueva FP favorece a los centros con relaciones empresariales consolidadas.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Medio plazo</w:t>
            </w:r>
          </w:p>
        </w:tc>
        <w:tc>
          <w:tcPr>
            <w:tcW w:type="dxa" w:w="2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Directora pedagógica FP + Dirección del Colegio</w:t>
            </w:r>
          </w:p>
        </w:tc>
      </w:tr>
      <w:tr>
        <w:trPr>
          <w:tblHeader w:val="false"/>
        </w:trPr>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Solicitar a la Consejería de Educación que se aplique el criterio de escolarización equilibrada (art. 87 LOMLOE) en la zonificación del centro, para garantizar que familias de secciones censales vulnerables de Delicias tengan prioridad real de acceso.</w:t>
            </w:r>
          </w:p>
        </w:tc>
        <w:tc>
          <w:tcPr>
            <w:tcW w:type="dxa" w:w="25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Art. 87 LOMLOE: escolarización equilibrada. No es un cupo fijado por el centro; es una petición a la Administración para que aplique los criterios que la ley ya prevé.</w:t>
            </w:r>
          </w:p>
        </w:tc>
        <w:tc>
          <w:tcPr>
            <w:tcW w:type="dxa" w:w="11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Corto plazo</w:t>
            </w:r>
          </w:p>
        </w:tc>
        <w:tc>
          <w:tcPr>
            <w:tcW w:type="dxa" w:w="2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Directora del Colegio → Inspección de Educación</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5.2 Cohesión del equipo directivo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1100"/>
        <w:gridCol w:w="2020"/>
      </w:tblGrid>
      <w:tr>
        <w:trPr>
          <w:tblHeader/>
        </w:trPr>
        <w:tc>
          <w:tcPr>
            <w:tcW w:type="dxa" w:w="34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Propuesta</w:t>
            </w:r>
          </w:p>
        </w:tc>
        <w:tc>
          <w:tcPr>
            <w:tcW w:type="dxa" w:w="25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Fundamento</w:t>
            </w:r>
          </w:p>
        </w:tc>
        <w:tc>
          <w:tcPr>
            <w:tcW w:type="dxa" w:w="11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Plazo</w:t>
            </w:r>
          </w:p>
        </w:tc>
        <w:tc>
          <w:tcPr>
            <w:tcW w:type="dxa" w:w="20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Quién decide</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Establecer un protocolo escrito de distribución de competencias entre el Director de la Casa y la Directora del Colegio, con procedimiento claro de resolución de discrepancias.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Buenas prácticas de gobierno dual. Compatible con LODE art. 25 (carácter propio) y LOE art. 132 (competencias del director).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Inmediato</w:t>
            </w:r>
          </w:p>
        </w:tc>
        <w:tc>
          <w:tcPr>
            <w:tcW w:type="dxa" w:w="2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Director Casa + Directora Colegio + Inspectoría</w:t>
            </w:r>
          </w:p>
        </w:tc>
      </w:tr>
      <w:tr>
        <w:trPr>
          <w:tblHeader w:val="false"/>
        </w:trPr>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Celebrar al menos una reunión mensual de todo el equipo directivo (los ocho cargos) con orden del día fijo: análisis de datos de asistencia/resultados por etapa; actualización de proyectos; decisiones operativas. Acta en 24h.</w:t>
            </w:r>
          </w:p>
        </w:tc>
        <w:tc>
          <w:tcPr>
            <w:tcW w:type="dxa" w:w="25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Investigación sobre liderazgo distribuido (Bolívar, 2010; Fullan, 2001). No requiere legislación; es organizativo.</w:t>
            </w:r>
          </w:p>
        </w:tc>
        <w:tc>
          <w:tcPr>
            <w:tcW w:type="dxa" w:w="11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Inmediato</w:t>
            </w:r>
          </w:p>
        </w:tc>
        <w:tc>
          <w:tcPr>
            <w:tcW w:type="dxa" w:w="2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Directora del Colegio</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Diseñar un mecanismo de coordinación horizontal entre los directores pedagógicos de las cuatro etapas, con al menos dos reuniones conjuntas al año. Objetivo: que todos los subsistemas conozcan el PEC completo, no solo su parte.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Prevención del 'colegio fragmentado'. No requiere legislación.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Corto plazo</w:t>
            </w:r>
          </w:p>
        </w:tc>
        <w:tc>
          <w:tcPr>
            <w:tcW w:type="dxa" w:w="2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Directora del Colegio + Directores pedagógicos</w:t>
            </w:r>
          </w:p>
        </w:tc>
      </w:tr>
      <w:tr>
        <w:trPr>
          <w:tblHeader w:val="false"/>
        </w:trPr>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Incorporar un criterio explícito de adhesión al carisma salesiano en los procesos de selección de nuevos cargos directivos. Documentar qué significa ese criterio en la práctica.</w:t>
            </w:r>
          </w:p>
        </w:tc>
        <w:tc>
          <w:tcPr>
            <w:tcW w:type="dxa" w:w="25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LODE art. 25: el titular tiene derecho a establecer el carácter propio del centro. Este carácter incluye el carisma salesiano.</w:t>
            </w:r>
          </w:p>
        </w:tc>
        <w:tc>
          <w:tcPr>
            <w:tcW w:type="dxa" w:w="11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Medio plazo</w:t>
            </w:r>
          </w:p>
        </w:tc>
        <w:tc>
          <w:tcPr>
            <w:tcW w:type="dxa" w:w="2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Titularidad (Inspectoría) + Director de la Casa</w:t>
            </w:r>
          </w:p>
        </w:tc>
      </w:tr>
    </w:tbl>
    <w:p>
      <w:pPr>
        <w:spacing w:after="0" w:before="120"/>
      </w:pPr>
      <w:r>
        <w:t xml:space="preserve"> </w:t>
      </w:r>
    </w:p>
    <w:p>
      <w:pPr>
        <w:pStyle w:val="Heading2"/>
        <w:spacing w:after="120" w:before="320"/>
      </w:pPr>
      <w:r>
        <w:rPr>
          <w:rFonts w:ascii="Georgia" w:cs="Georgia" w:eastAsia="Georgia" w:hAnsi="Georgia"/>
          <w:b/>
          <w:bCs/>
          <w:color w:val="0B6157"/>
          <w:sz w:val="27"/>
          <w:szCs w:val="27"/>
        </w:rPr>
        <w:t xml:space="preserve">5.3 Identidad y proyecto educativo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1100"/>
        <w:gridCol w:w="2020"/>
      </w:tblGrid>
      <w:tr>
        <w:trPr>
          <w:tblHeader/>
        </w:trPr>
        <w:tc>
          <w:tcPr>
            <w:tcW w:type="dxa" w:w="34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Propuesta</w:t>
            </w:r>
          </w:p>
        </w:tc>
        <w:tc>
          <w:tcPr>
            <w:tcW w:type="dxa" w:w="25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Fundamento</w:t>
            </w:r>
          </w:p>
        </w:tc>
        <w:tc>
          <w:tcPr>
            <w:tcW w:type="dxa" w:w="11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Plazo</w:t>
            </w:r>
          </w:p>
        </w:tc>
        <w:tc>
          <w:tcPr>
            <w:tcW w:type="dxa" w:w="20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Quién decide</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Iniciar en el curso 2025-26 un proceso de revisión del PEC con participación de representantes de todos los estamentos, incluyendo familias inmigrantes (con apoyo de mediación intercultural si es necesario) y alumnado de FP y bachillerato.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LOE art. 121: el PEC debe reflejar la realidad del centro y su entorno. Revisiones participativas tienen mayor adhesión y eficacia.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Corto plazo</w:t>
            </w:r>
          </w:p>
        </w:tc>
        <w:tc>
          <w:tcPr>
            <w:tcW w:type="dxa" w:w="2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Equipo directivo + CEP</w:t>
            </w:r>
          </w:p>
        </w:tc>
      </w:tr>
      <w:tr>
        <w:trPr>
          <w:tblHeader w:val="false"/>
        </w:trPr>
        <w:tc>
          <w:tcPr>
            <w:tcW w:type="dxa" w:w="34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Formalizar la conexión entre el colegio y la plataforma social (PAE El Pilar, ATès): al menos una reunión trimestral de coordinación con acta; mención explícita en el PEC.</w:t>
            </w:r>
          </w:p>
        </w:tc>
        <w:tc>
          <w:tcPr>
            <w:tcW w:type="dxa" w:w="25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Sin base legal obligatoria; es una propuesta de coherencia institucional con el carisma.</w:t>
            </w:r>
          </w:p>
        </w:tc>
        <w:tc>
          <w:tcPr>
            <w:tcW w:type="dxa" w:w="11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Corto plazo</w:t>
            </w:r>
          </w:p>
        </w:tc>
        <w:tc>
          <w:tcPr>
            <w:tcW w:type="dxa" w:w="2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Coordinator Pastoral + Coord. FISAT + Dir. Casa</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Documentar y publicar los resultados de inserción laboral de los egresados de FP del NSP (tasa de inserción a 6 meses, tipo de contrato). Este dato es el mejor argumento de calidad del centro.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LO 3/2022 art. 14: los centros de FP deben hacer seguimiento de la inserción laboral. Es también una exigencia del nuevo sistema.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Medio plazo</w:t>
            </w:r>
          </w:p>
        </w:tc>
        <w:tc>
          <w:tcPr>
            <w:tcW w:type="dxa" w:w="2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Directora pedagógica FP + Administrador</w:t>
            </w:r>
          </w:p>
        </w:tc>
      </w:tr>
    </w:tbl>
    <w:p>
      <w:r>
        <w:br w:type="page"/>
      </w:r>
    </w:p>
    <w:p>
      <w:pPr>
        <w:pStyle w:val="Heading1"/>
        <w:pBdr>
          <w:bottom w:val="single" w:color="0D1B2A" w:sz="14" w:space="2"/>
        </w:pBdr>
        <w:spacing w:after="200" w:before="480"/>
      </w:pPr>
      <w:r>
        <w:rPr>
          <w:rFonts w:ascii="Georgia" w:cs="Georgia" w:eastAsia="Georgia" w:hAnsi="Georgia"/>
          <w:b/>
          <w:bCs/>
          <w:color w:val="0D1B2A"/>
          <w:sz w:val="34"/>
          <w:szCs w:val="34"/>
        </w:rPr>
        <w:t xml:space="preserve">6. EPÍLOGO: LO QUE NECESITAMOS SABER</w:t>
      </w:r>
    </w:p>
    <w:p>
      <w:pPr>
        <w:spacing w:after="100" w:before="0"/>
        <w:jc w:val="left"/>
      </w:pPr>
      <w:r>
        <w:rPr>
          <w:rFonts w:ascii="Georgia" w:cs="Georgia" w:eastAsia="Georgia" w:hAnsi="Georgia"/>
          <w:b w:val="false"/>
          <w:bCs w:val="false"/>
          <w:i w:val="false"/>
          <w:iCs w:val="false"/>
          <w:caps w:val="false"/>
          <w:color w:val="000000"/>
          <w:sz w:val="22"/>
          <w:szCs w:val="22"/>
        </w:rPr>
        <w:t xml:space="preserve">El análisis de este documento tiene limitaciones claras derivadas de la falta de acceso a datos internos del centro. Hay preguntas cuya respuesta solo puede venir del equipo directivo. Se presentan como agenda de trabajo, no como crítica.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3020"/>
        <w:gridCol w:w="2800"/>
      </w:tblGrid>
      <w:tr>
        <w:trPr>
          <w:tblHeader/>
        </w:trPr>
        <w:tc>
          <w:tcPr>
            <w:tcW w:type="dxa" w:w="32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Pregunta</w:t>
            </w:r>
          </w:p>
        </w:tc>
        <w:tc>
          <w:tcPr>
            <w:tcW w:type="dxa" w:w="302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Por qué es importante</w:t>
            </w:r>
          </w:p>
        </w:tc>
        <w:tc>
          <w:tcPr>
            <w:tcW w:type="dxa" w:w="28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vAlign w:val="top"/>
          </w:tcPr>
          <w:p>
            <w:pPr>
              <w:spacing w:after="80" w:before="0"/>
              <w:jc w:val="left"/>
            </w:pPr>
            <w:r>
              <w:rPr>
                <w:rFonts w:ascii="Georgia" w:cs="Georgia" w:eastAsia="Georgia" w:hAnsi="Georgia"/>
                <w:b/>
                <w:bCs/>
                <w:i w:val="false"/>
                <w:iCs w:val="false"/>
                <w:caps w:val="false"/>
                <w:color w:val="FFFFFF"/>
                <w:sz w:val="19"/>
                <w:szCs w:val="19"/>
              </w:rPr>
              <w:t xml:space="preserve">Dónde obtener el dato</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¿Cuál es la composición socioeconómica del alumnado por etapa?</w:t>
            </w:r>
          </w:p>
        </w:tc>
        <w:tc>
          <w:tcPr>
            <w:tcW w:type="dxa" w:w="3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 el bioindicador más directo de si el centro está cumpliendo su misión histórica de diversidad.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Datos internos de matrícula + índice ISEC (Consejería de Educación)</w:t>
            </w:r>
          </w:p>
        </w:tc>
      </w:tr>
      <w:tr>
        <w:trPr>
          <w:tblHeader w:val="false"/>
        </w:trPr>
        <w:tc>
          <w:tcPr>
            <w:tcW w:type="dxa" w:w="3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¿Qué porcentaje del alumnado de bachillerato proviene de centros sin bachillerato propio (Claretianos, Josefinas, Moncayo)?</w:t>
            </w:r>
          </w:p>
        </w:tc>
        <w:tc>
          <w:tcPr>
            <w:tcW w:type="dxa" w:w="3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Cuantifica el riesgo financiero de la nueva concertación de bachillerato.</w:t>
            </w:r>
          </w:p>
        </w:tc>
        <w:tc>
          <w:tcPr>
            <w:tcW w:type="dxa" w:w="28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Datos internos de procedencia del alumnado de 1º Bachillerato</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¿Cuál es la estructura real del presupuesto del centro?</w:t>
            </w:r>
          </w:p>
        </w:tc>
        <w:tc>
          <w:tcPr>
            <w:tcW w:type="dxa" w:w="3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Sin ese dato, las propuestas financieras son especulaciones.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Cuentas presentadas a la Consejería de Educación + Memoria de Inspectoría SMX</w:t>
            </w:r>
          </w:p>
        </w:tc>
      </w:tr>
      <w:tr>
        <w:trPr>
          <w:tblHeader w:val="false"/>
        </w:trPr>
        <w:tc>
          <w:tcPr>
            <w:tcW w:type="dxa" w:w="3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¿Cómo es la tasa de inserción laboral real de los egresados de FP del NSP?</w:t>
            </w:r>
          </w:p>
        </w:tc>
        <w:tc>
          <w:tcPr>
            <w:tcW w:type="dxa" w:w="3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Define la ventaja competitiva real frente a otros ofertantes de FP en Zaragoza.</w:t>
            </w:r>
          </w:p>
        </w:tc>
        <w:tc>
          <w:tcPr>
            <w:tcW w:type="dxa" w:w="28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Seguimiento interno; SEPE; empresas colaboradoras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¿Qué indica la encuesta de satisfacción de familias (si existe)?</w:t>
            </w:r>
          </w:p>
        </w:tc>
        <w:tc>
          <w:tcPr>
            <w:tcW w:type="dxa" w:w="3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Señal temprana de si el proyecto educativo es percibido como coherente por la comunidad.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AMPA; si no existe, crearla</w:t>
            </w:r>
          </w:p>
        </w:tc>
      </w:tr>
      <w:tr>
        <w:trPr>
          <w:tblHeader w:val="false"/>
        </w:trPr>
        <w:tc>
          <w:tcPr>
            <w:tcW w:type="dxa" w:w="32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¿Cómo funciona en la práctica la Comunidad Educativo-Pastoral (CEP)?</w:t>
            </w:r>
          </w:p>
        </w:tc>
        <w:tc>
          <w:tcPr>
            <w:tcW w:type="dxa" w:w="302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Es el órgano en el que se integra la doble cadena de mando. Su salud es indicador de la cohesión del centro.</w:t>
            </w:r>
          </w:p>
        </w:tc>
        <w:tc>
          <w:tcPr>
            <w:tcW w:type="dxa" w:w="2800"/>
            <w:tcBorders>
              <w:top w:val="single" w:color="CCCCCC" w:sz="4"/>
              <w:left w:val="single" w:color="CCCCCC" w:sz="4"/>
              <w:bottom w:val="single" w:color="CCCCCC" w:sz="4"/>
              <w:right w:val="single" w:color="CCCCCC" w:sz="4"/>
            </w:tcBorders>
            <w:shd w:fill="F7F7F7"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Actas de la CEP; percepción del equipo directivo</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¿Cuántos alumnos atiende realmente el PAE El Pilar y el ATès por año?</w:t>
            </w:r>
          </w:p>
        </w:tc>
        <w:tc>
          <w:tcPr>
            <w:tcW w:type="dxa" w:w="30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Cuantifica la escala real de la plataforma social y su relación con el barrio.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80" w:before="0"/>
              <w:jc w:val="left"/>
            </w:pPr>
            <w:r>
              <w:rPr>
                <w:rFonts w:ascii="Georgia" w:cs="Georgia" w:eastAsia="Georgia" w:hAnsi="Georgia"/>
                <w:b w:val="false"/>
                <w:bCs w:val="false"/>
                <w:i w:val="false"/>
                <w:iCs w:val="false"/>
                <w:caps w:val="false"/>
                <w:color w:val="000000"/>
                <w:sz w:val="20"/>
                <w:szCs w:val="20"/>
              </w:rPr>
              <w:t xml:space="preserve">FISAT; datos del propio proyecto</w:t>
            </w:r>
          </w:p>
        </w:tc>
      </w:tr>
    </w:tbl>
    <w:p>
      <w:pPr>
        <w:spacing w:after="0" w:before="120"/>
      </w:pPr>
      <w:r>
        <w:t xml:space="preserve"> </w:t>
      </w:r>
    </w:p>
    <w:tbl>
      <w:tblPr>
        <w:tblW w:type="dxa" w:w="9020"/>
        <w:tblBorders>
          <w:top w:val="none" w:color="FFFFFF" w:sz="0"/>
          <w:left w:val="none" w:color="FFFFFF" w:sz="0"/>
          <w:bottom w:val="none" w:color="FFFFFF" w:sz="0"/>
          <w:right w:val="none" w:color="FFFFFF" w:sz="0"/>
          <w:insideH w:val="single" w:color="auto" w:sz="4"/>
          <w:insideV w:val="single" w:color="auto" w:sz="4"/>
        </w:tblBorders>
      </w:tblPr>
      <w:tblGrid>
        <w:gridCol w:w="9020"/>
      </w:tblGrid>
      <w:tr>
        <w:tc>
          <w:tcPr>
            <w:tcW w:type="dxa" w:w="9020"/>
            <w:tcBorders>
              <w:top w:val="none" w:color="FFFFFF" w:sz="0"/>
              <w:left w:val="none" w:color="FFFFFF" w:sz="0"/>
              <w:bottom w:val="none" w:color="FFFFFF" w:sz="0"/>
              <w:right w:val="none" w:color="FFFFFF" w:sz="0"/>
            </w:tcBorders>
            <w:shd w:fill="0B6157" w:val="clear"/>
            <w:tcMar>
              <w:top w:type="dxa" w:w="140"/>
              <w:left w:type="dxa" w:w="240"/>
              <w:bottom w:type="dxa" w:w="140"/>
              <w:right w:type="dxa" w:w="240"/>
            </w:tcMar>
            <w:vAlign w:val="top"/>
          </w:tcPr>
          <w:p>
            <w:pPr>
              <w:spacing w:after="80" w:before="0"/>
              <w:jc w:val="left"/>
            </w:pPr>
            <w:r>
              <w:rPr>
                <w:rFonts w:ascii="Arial" w:cs="Arial" w:eastAsia="Arial" w:hAnsi="Arial"/>
                <w:b/>
                <w:bCs/>
                <w:i w:val="false"/>
                <w:iCs w:val="false"/>
                <w:color w:val="FFFFFF"/>
                <w:sz w:val="22"/>
                <w:szCs w:val="22"/>
              </w:rPr>
              <w:t xml:space="preserve">El documento más valioso que puede producir el equipo directivo en el próximo año no es otro informe externo: es un cuadro de mando interno con estos siete datos, actualizado anualmente. Si el centro conoce su composición socioeconómica, su tasa de inserción laboral, su flujo de bachillerato y el estado de su CEP, tiene la información suficiente para tomar decisiones estratégicas informadas y para demostrar a la Inspectoría y a la Administración que cumple su misión.</w:t>
            </w:r>
          </w:p>
        </w:tc>
      </w:tr>
    </w:tbl>
    <w:p>
      <w:r>
        <w:br w:type="page"/>
      </w:r>
    </w:p>
    <w:p>
      <w:pPr>
        <w:pStyle w:val="Heading1"/>
        <w:pBdr>
          <w:bottom w:val="single" w:color="0D1B2A" w:sz="14" w:space="2"/>
        </w:pBdr>
        <w:spacing w:after="200" w:before="480"/>
      </w:pPr>
      <w:r>
        <w:rPr>
          <w:rFonts w:ascii="Georgia" w:cs="Georgia" w:eastAsia="Georgia" w:hAnsi="Georgia"/>
          <w:b/>
          <w:bCs/>
          <w:color w:val="0D1B2A"/>
          <w:sz w:val="34"/>
          <w:szCs w:val="34"/>
        </w:rPr>
        <w:t xml:space="preserve">REFERENCIAS</w:t>
      </w:r>
    </w:p>
    <w:p>
      <w:pPr>
        <w:spacing w:after="100" w:before="0"/>
        <w:jc w:val="left"/>
      </w:pPr>
      <w:r>
        <w:rPr>
          <w:rFonts w:ascii="Georgia" w:cs="Georgia" w:eastAsia="Georgia" w:hAnsi="Georgia"/>
          <w:b w:val="false"/>
          <w:bCs w:val="false"/>
          <w:i/>
          <w:iCs/>
          <w:caps w:val="false"/>
          <w:color w:val="000000"/>
          <w:sz w:val="22"/>
          <w:szCs w:val="22"/>
        </w:rPr>
        <w:t xml:space="preserve">Solo se citan aquí los autores y documentos que han tenido un papel real en el análisis, no todos los que podrían citarse.</w:t>
      </w:r>
    </w:p>
    <w:p>
      <w:pPr>
        <w:spacing w:after="60" w:before="0"/>
        <w:jc w:val="left"/>
      </w:pPr>
      <w:r>
        <w:rPr>
          <w:rFonts w:ascii="Georgia" w:cs="Georgia" w:eastAsia="Georgia" w:hAnsi="Georgia"/>
          <w:b/>
          <w:bCs/>
          <w:i w:val="false"/>
          <w:iCs w:val="false"/>
          <w:caps w:val="false"/>
          <w:color w:val="000000"/>
          <w:sz w:val="20"/>
          <w:szCs w:val="20"/>
        </w:rPr>
        <w:t xml:space="preserve">Normativa (verificada y relevante):</w:t>
      </w:r>
    </w:p>
    <w:p>
      <w:pPr>
        <w:pStyle w:val="ListParagraph"/>
        <w:numPr>
          <w:ilvl w:val="0"/>
          <w:numId w:val="2"/>
        </w:numPr>
        <w:spacing w:after="60"/>
      </w:pPr>
      <w:r>
        <w:rPr>
          <w:rFonts w:ascii="Georgia" w:cs="Georgia" w:eastAsia="Georgia" w:hAnsi="Georgia"/>
          <w:sz w:val="21"/>
          <w:szCs w:val="21"/>
        </w:rPr>
        <w:t xml:space="preserve">Ley Orgánica 8/1985, de 3 de julio, del Derecho a la Educación (LODE), artículos 25 (carácter propio) y 27 (admisión).</w:t>
      </w:r>
    </w:p>
    <w:p>
      <w:pPr>
        <w:pStyle w:val="ListParagraph"/>
        <w:numPr>
          <w:ilvl w:val="0"/>
          <w:numId w:val="2"/>
        </w:numPr>
        <w:spacing w:after="60"/>
      </w:pPr>
      <w:r>
        <w:rPr>
          <w:rFonts w:ascii="Georgia" w:cs="Georgia" w:eastAsia="Georgia" w:hAnsi="Georgia"/>
          <w:sz w:val="21"/>
          <w:szCs w:val="21"/>
        </w:rPr>
        <w:t xml:space="preserve">Ley Orgánica 2/2006, de 3 de mayo, de Educación (LOE), modificada por Ley Orgánica 3/2020 (LOMLOE), artículos 84, 87, 88, 121, 132.</w:t>
      </w:r>
    </w:p>
    <w:p>
      <w:pPr>
        <w:pStyle w:val="ListParagraph"/>
        <w:numPr>
          <w:ilvl w:val="0"/>
          <w:numId w:val="2"/>
        </w:numPr>
        <w:spacing w:after="60"/>
      </w:pPr>
      <w:r>
        <w:rPr>
          <w:rFonts w:ascii="Georgia" w:cs="Georgia" w:eastAsia="Georgia" w:hAnsi="Georgia"/>
          <w:sz w:val="21"/>
          <w:szCs w:val="21"/>
        </w:rPr>
        <w:t xml:space="preserve">Ley Orgánica 3/2022, de 31 de marzo, de Ordenación e Integración de la Formación Profesional.</w:t>
      </w:r>
    </w:p>
    <w:p>
      <w:pPr>
        <w:pStyle w:val="ListParagraph"/>
        <w:numPr>
          <w:ilvl w:val="0"/>
          <w:numId w:val="2"/>
        </w:numPr>
        <w:spacing w:after="60"/>
      </w:pPr>
      <w:r>
        <w:rPr>
          <w:rFonts w:ascii="Georgia" w:cs="Georgia" w:eastAsia="Georgia" w:hAnsi="Georgia"/>
          <w:sz w:val="21"/>
          <w:szCs w:val="21"/>
        </w:rPr>
        <w:t xml:space="preserve">Real Decreto 659/2023, de 18 de julio, de desarrollo de la LO 3/2022.</w:t>
      </w:r>
    </w:p>
    <w:p>
      <w:pPr>
        <w:pStyle w:val="ListParagraph"/>
        <w:numPr>
          <w:ilvl w:val="0"/>
          <w:numId w:val="2"/>
        </w:numPr>
        <w:spacing w:after="60"/>
      </w:pPr>
      <w:r>
        <w:rPr>
          <w:rFonts w:ascii="Georgia" w:cs="Georgia" w:eastAsia="Georgia" w:hAnsi="Georgia"/>
          <w:sz w:val="21"/>
          <w:szCs w:val="21"/>
        </w:rPr>
        <w:t xml:space="preserve">Decreto 57/2024, de 3 de abril, del Gobierno de Aragón, sobre escolarización en centros sostenidos con fondos públicos.</w:t>
      </w:r>
    </w:p>
    <w:p>
      <w:pPr>
        <w:pStyle w:val="ListParagraph"/>
        <w:numPr>
          <w:ilvl w:val="0"/>
          <w:numId w:val="2"/>
        </w:numPr>
        <w:spacing w:after="60"/>
      </w:pPr>
      <w:r>
        <w:rPr>
          <w:rFonts w:ascii="Georgia" w:cs="Georgia" w:eastAsia="Georgia" w:hAnsi="Georgia"/>
          <w:sz w:val="21"/>
          <w:szCs w:val="21"/>
        </w:rPr>
        <w:t xml:space="preserve">Decreto 91/2024, de 5 de junio, del Gobierno de Aragón, de ordenación de la FP.</w:t>
      </w:r>
    </w:p>
    <w:p>
      <w:pPr>
        <w:pStyle w:val="ListParagraph"/>
        <w:numPr>
          <w:ilvl w:val="0"/>
          <w:numId w:val="2"/>
        </w:numPr>
        <w:spacing w:after="60"/>
      </w:pPr>
      <w:r>
        <w:rPr>
          <w:rFonts w:ascii="Georgia" w:cs="Georgia" w:eastAsia="Georgia" w:hAnsi="Georgia"/>
          <w:sz w:val="21"/>
          <w:szCs w:val="21"/>
        </w:rPr>
        <w:t xml:space="preserve">Orden ECD/471/2026, de 13 de marzo, convocatoria de escolarización 2026-27 en Aragón.</w:t>
      </w:r>
    </w:p>
    <w:p>
      <w:pPr>
        <w:pStyle w:val="ListParagraph"/>
        <w:numPr>
          <w:ilvl w:val="0"/>
          <w:numId w:val="2"/>
        </w:numPr>
        <w:spacing w:after="60"/>
      </w:pPr>
      <w:r>
        <w:rPr>
          <w:rFonts w:ascii="Georgia" w:cs="Georgia" w:eastAsia="Georgia" w:hAnsi="Georgia"/>
          <w:sz w:val="21"/>
          <w:szCs w:val="21"/>
        </w:rPr>
        <w:t xml:space="preserve">Orden de la Consejería de Educación de Aragón (BOA, abril 2026) sobre concertación de Bachillerato.</w:t>
      </w:r>
    </w:p>
    <w:p>
      <w:pPr>
        <w:spacing w:after="0" w:before="80"/>
      </w:pPr>
      <w:r>
        <w:t xml:space="preserve"> </w:t>
      </w:r>
    </w:p>
    <w:p>
      <w:pPr>
        <w:spacing w:after="60" w:before="0"/>
        <w:jc w:val="left"/>
      </w:pPr>
      <w:r>
        <w:rPr>
          <w:rFonts w:ascii="Georgia" w:cs="Georgia" w:eastAsia="Georgia" w:hAnsi="Georgia"/>
          <w:b/>
          <w:bCs/>
          <w:i w:val="false"/>
          <w:iCs w:val="false"/>
          <w:caps w:val="false"/>
          <w:color w:val="000000"/>
          <w:sz w:val="20"/>
          <w:szCs w:val="20"/>
        </w:rPr>
        <w:t xml:space="preserve">Bibliografía académica (citada en el texto):</w:t>
      </w:r>
    </w:p>
    <w:p>
      <w:pPr>
        <w:pStyle w:val="ListParagraph"/>
        <w:numPr>
          <w:ilvl w:val="0"/>
          <w:numId w:val="2"/>
        </w:numPr>
        <w:spacing w:after="60"/>
      </w:pPr>
      <w:r>
        <w:rPr>
          <w:rFonts w:ascii="Georgia" w:cs="Georgia" w:eastAsia="Georgia" w:hAnsi="Georgia"/>
          <w:sz w:val="21"/>
          <w:szCs w:val="21"/>
        </w:rPr>
        <w:t xml:space="preserve">Bolívar, A. (2010). El liderazgo educativo y su papel en la mejora: una revisión actual de sus posibilidades y limitaciones. Psicoperspectivas, 9(2), 9-33.</w:t>
      </w:r>
    </w:p>
    <w:p>
      <w:pPr>
        <w:pStyle w:val="ListParagraph"/>
        <w:numPr>
          <w:ilvl w:val="0"/>
          <w:numId w:val="2"/>
        </w:numPr>
        <w:spacing w:after="60"/>
      </w:pPr>
      <w:r>
        <w:rPr>
          <w:rFonts w:ascii="Georgia" w:cs="Georgia" w:eastAsia="Georgia" w:hAnsi="Georgia"/>
          <w:sz w:val="21"/>
          <w:szCs w:val="21"/>
        </w:rPr>
        <w:t xml:space="preserve">Fielding, M. (2001). Students as Radical Agents of Change. Journal of Educational Change, 2, 123-141.</w:t>
      </w:r>
    </w:p>
    <w:p>
      <w:pPr>
        <w:pStyle w:val="ListParagraph"/>
        <w:numPr>
          <w:ilvl w:val="0"/>
          <w:numId w:val="2"/>
        </w:numPr>
        <w:spacing w:after="60"/>
      </w:pPr>
      <w:r>
        <w:rPr>
          <w:rFonts w:ascii="Georgia" w:cs="Georgia" w:eastAsia="Georgia" w:hAnsi="Georgia"/>
          <w:sz w:val="21"/>
          <w:szCs w:val="21"/>
        </w:rPr>
        <w:t xml:space="preserve">Francisco, Papa (2013). Evangelii Gaudium. Exhortación Apostólica. Ciudad del Vaticano.</w:t>
      </w:r>
    </w:p>
    <w:p>
      <w:pPr>
        <w:pStyle w:val="ListParagraph"/>
        <w:numPr>
          <w:ilvl w:val="0"/>
          <w:numId w:val="2"/>
        </w:numPr>
        <w:spacing w:after="60"/>
      </w:pPr>
      <w:r>
        <w:rPr>
          <w:rFonts w:ascii="Georgia" w:cs="Georgia" w:eastAsia="Georgia" w:hAnsi="Georgia"/>
          <w:sz w:val="21"/>
          <w:szCs w:val="21"/>
        </w:rPr>
        <w:t xml:space="preserve">Fullan, M. (2001). Leading in a Culture of Change. Jossey-Bass.</w:t>
      </w:r>
    </w:p>
    <w:p>
      <w:pPr>
        <w:pStyle w:val="ListParagraph"/>
        <w:numPr>
          <w:ilvl w:val="0"/>
          <w:numId w:val="2"/>
        </w:numPr>
        <w:spacing w:after="60"/>
      </w:pPr>
      <w:r>
        <w:rPr>
          <w:rFonts w:ascii="Georgia" w:cs="Georgia" w:eastAsia="Georgia" w:hAnsi="Georgia"/>
          <w:sz w:val="21"/>
          <w:szCs w:val="21"/>
        </w:rPr>
        <w:t xml:space="preserve">Hart, R. (1992). Children's Participation: From Tokenism to Citizenship. UNICEF.</w:t>
      </w:r>
    </w:p>
    <w:p>
      <w:pPr>
        <w:pStyle w:val="ListParagraph"/>
        <w:numPr>
          <w:ilvl w:val="0"/>
          <w:numId w:val="2"/>
        </w:numPr>
        <w:spacing w:after="60"/>
      </w:pPr>
      <w:r>
        <w:rPr>
          <w:rFonts w:ascii="Georgia" w:cs="Georgia" w:eastAsia="Georgia" w:hAnsi="Georgia"/>
          <w:sz w:val="21"/>
          <w:szCs w:val="21"/>
        </w:rPr>
        <w:t xml:space="preserve">Hargreaves, A. &amp; Shirley, D. (2009). The Fourth Way. Corwin Press.</w:t>
      </w:r>
    </w:p>
    <w:p>
      <w:pPr>
        <w:pStyle w:val="ListParagraph"/>
        <w:numPr>
          <w:ilvl w:val="0"/>
          <w:numId w:val="2"/>
        </w:numPr>
        <w:spacing w:after="60"/>
      </w:pPr>
      <w:r>
        <w:rPr>
          <w:rFonts w:ascii="Georgia" w:cs="Georgia" w:eastAsia="Georgia" w:hAnsi="Georgia"/>
          <w:sz w:val="21"/>
          <w:szCs w:val="21"/>
        </w:rPr>
        <w:t xml:space="preserve">OCDE (2022). Education at a Glance. OECD Publishing.</w:t>
      </w:r>
    </w:p>
    <w:p>
      <w:pPr>
        <w:pStyle w:val="ListParagraph"/>
        <w:numPr>
          <w:ilvl w:val="0"/>
          <w:numId w:val="2"/>
        </w:numPr>
        <w:spacing w:after="60"/>
      </w:pPr>
      <w:r>
        <w:rPr>
          <w:rFonts w:ascii="Georgia" w:cs="Georgia" w:eastAsia="Georgia" w:hAnsi="Georgia"/>
          <w:sz w:val="21"/>
          <w:szCs w:val="21"/>
        </w:rPr>
        <w:t xml:space="preserve">Rudduck, J. &amp; Flutter, J. (2004). How to Improve Your School. Continuum.</w:t>
      </w:r>
    </w:p>
    <w:p>
      <w:pPr>
        <w:pStyle w:val="ListParagraph"/>
        <w:numPr>
          <w:ilvl w:val="0"/>
          <w:numId w:val="2"/>
        </w:numPr>
        <w:spacing w:after="60"/>
      </w:pPr>
      <w:r>
        <w:rPr>
          <w:rFonts w:ascii="Georgia" w:cs="Georgia" w:eastAsia="Georgia" w:hAnsi="Georgia"/>
          <w:sz w:val="21"/>
          <w:szCs w:val="21"/>
        </w:rPr>
        <w:t xml:space="preserve">UNESCO (2021). Reimagining Our Futures Together. A New Social Contract for Education. Paris: UNESCO.</w:t>
      </w:r>
    </w:p>
    <w:p>
      <w:pPr>
        <w:spacing w:after="0" w:before="80"/>
      </w:pPr>
      <w:r>
        <w:t xml:space="preserve"> </w:t>
      </w:r>
    </w:p>
    <w:p>
      <w:pPr>
        <w:spacing w:after="60" w:before="0"/>
        <w:jc w:val="left"/>
      </w:pPr>
      <w:r>
        <w:rPr>
          <w:rFonts w:ascii="Georgia" w:cs="Georgia" w:eastAsia="Georgia" w:hAnsi="Georgia"/>
          <w:b/>
          <w:bCs/>
          <w:i w:val="false"/>
          <w:iCs w:val="false"/>
          <w:caps w:val="false"/>
          <w:color w:val="000000"/>
          <w:sz w:val="20"/>
          <w:szCs w:val="20"/>
        </w:rPr>
        <w:t xml:space="preserve">Fuentes estadísticas:</w:t>
      </w:r>
    </w:p>
    <w:p>
      <w:pPr>
        <w:pStyle w:val="ListParagraph"/>
        <w:numPr>
          <w:ilvl w:val="0"/>
          <w:numId w:val="2"/>
        </w:numPr>
        <w:spacing w:after="60"/>
      </w:pPr>
      <w:r>
        <w:rPr>
          <w:rFonts w:ascii="Georgia" w:cs="Georgia" w:eastAsia="Georgia" w:hAnsi="Georgia"/>
          <w:sz w:val="21"/>
          <w:szCs w:val="21"/>
        </w:rPr>
        <w:t xml:space="preserve">Ayuntamiento de Zaragoza, Servicio de Estadística. Padrón Municipal 2025.</w:t>
      </w:r>
    </w:p>
    <w:p>
      <w:pPr>
        <w:pStyle w:val="ListParagraph"/>
        <w:numPr>
          <w:ilvl w:val="0"/>
          <w:numId w:val="2"/>
        </w:numPr>
        <w:spacing w:after="60"/>
      </w:pPr>
      <w:r>
        <w:rPr>
          <w:rFonts w:ascii="Georgia" w:cs="Georgia" w:eastAsia="Georgia" w:hAnsi="Georgia"/>
          <w:sz w:val="21"/>
          <w:szCs w:val="21"/>
        </w:rPr>
        <w:t xml:space="preserve">Gobierno de Aragón, Consejería de Educación. Datos de FP 2024-25 y oferta 2025-27.</w:t>
      </w:r>
    </w:p>
    <w:p>
      <w:pPr>
        <w:pStyle w:val="ListParagraph"/>
        <w:numPr>
          <w:ilvl w:val="0"/>
          <w:numId w:val="2"/>
        </w:numPr>
        <w:spacing w:after="60"/>
      </w:pPr>
      <w:r>
        <w:rPr>
          <w:rFonts w:ascii="Georgia" w:cs="Georgia" w:eastAsia="Georgia" w:hAnsi="Georgia"/>
          <w:sz w:val="21"/>
          <w:szCs w:val="21"/>
        </w:rPr>
        <w:t xml:space="preserve">Instituto Nacional de Estadística (INE). Cifras de población.</w:t>
      </w:r>
    </w:p>
    <w:p>
      <w:pPr>
        <w:pStyle w:val="ListParagraph"/>
        <w:numPr>
          <w:ilvl w:val="0"/>
          <w:numId w:val="2"/>
        </w:numPr>
        <w:spacing w:after="60"/>
      </w:pPr>
      <w:r>
        <w:rPr>
          <w:rFonts w:ascii="Georgia" w:cs="Georgia" w:eastAsia="Georgia" w:hAnsi="Georgia"/>
          <w:sz w:val="21"/>
          <w:szCs w:val="21"/>
        </w:rPr>
        <w:t xml:space="preserve">BOA: Boletín Oficial de Aragón, BOA20250227 (ratio de alumnos), BOA20260225 (plazas 2026-27).</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6000"/>
      <w:gridCol w:w="3026"/>
    </w:tblGrid>
    <w:tr>
      <w:tc>
        <w:tcPr>
          <w:tcW w:type="dxa" w:w="6000"/>
          <w:tcBorders>
            <w:top w:val="single" w:color="DDDDDD" w:sz="4"/>
            <w:left w:val="none" w:color="FFFFFF" w:sz="0"/>
            <w:bottom w:val="none" w:color="FFFFFF" w:sz="0"/>
            <w:right w:val="none" w:color="FFFFFF" w:sz="0"/>
          </w:tcBorders>
          <w:shd w:fill="FFFFFF" w:val="clear"/>
          <w:tcMar>
            <w:top w:type="dxa" w:w="60"/>
            <w:left w:type="dxa" w:w="140"/>
            <w:bottom w:type="dxa" w:w="60"/>
            <w:right w:type="dxa" w:w="140"/>
          </w:tcMar>
          <w:vAlign w:val="top"/>
        </w:tcPr>
        <w:p>
          <w:pPr>
            <w:spacing w:after="80" w:before="0"/>
            <w:jc w:val="left"/>
          </w:pPr>
          <w:r>
            <w:rPr>
              <w:rFonts w:ascii="Arial" w:cs="Arial" w:eastAsia="Arial" w:hAnsi="Arial"/>
              <w:b w:val="false"/>
              <w:bCs w:val="false"/>
              <w:i/>
              <w:iCs/>
              <w:color w:val="717171"/>
              <w:sz w:val="16"/>
              <w:szCs w:val="16"/>
            </w:rPr>
            <w:t xml:space="preserve">Documento de trabajo reservado · Uso interno</w:t>
          </w:r>
        </w:p>
      </w:tc>
      <w:tc>
        <w:tcPr>
          <w:tcW w:type="dxa" w:w="3026"/>
          <w:tcBorders>
            <w:top w:val="single" w:color="DDDDDD" w:sz="4"/>
            <w:left w:val="none" w:color="FFFFFF" w:sz="0"/>
            <w:bottom w:val="none" w:color="FFFFFF" w:sz="0"/>
            <w:right w:val="none" w:color="FFFFFF" w:sz="0"/>
          </w:tcBorders>
          <w:shd w:fill="FFFFFF" w:val="clear"/>
          <w:tcMar>
            <w:top w:type="dxa" w:w="60"/>
            <w:left w:type="dxa" w:w="140"/>
            <w:bottom w:type="dxa" w:w="60"/>
            <w:right w:type="dxa" w:w="140"/>
          </w:tcMar>
          <w:vAlign w:val="top"/>
        </w:tcPr>
        <w:p>
          <w:pPr>
            <w:jc w:val="right"/>
          </w:pPr>
          <w:r>
            <w:rPr>
              <w:rFonts w:ascii="Arial" w:cs="Arial" w:eastAsia="Arial" w:hAnsi="Arial"/>
              <w:color w:val="717171"/>
              <w:sz w:val="16"/>
              <w:szCs w:val="16"/>
            </w:rPr>
            <w:t xml:space="preserve">Pág. </w:t>
          </w:r>
          <w:r>
            <w:rPr>
              <w:rFonts w:ascii="Arial" w:cs="Arial" w:eastAsia="Arial" w:hAnsi="Arial"/>
              <w:color w:val="717171"/>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5600"/>
      <w:gridCol w:w="3426"/>
    </w:tblGrid>
    <w:tr>
      <w:tc>
        <w:tcPr>
          <w:tcW w:type="dxa" w:w="5600"/>
          <w:tcBorders>
            <w:top w:val="none" w:color="FFFFFF" w:sz="0"/>
            <w:left w:val="none" w:color="FFFFFF" w:sz="0"/>
            <w:bottom w:val="single" w:color="0B6157" w:sz="4"/>
            <w:right w:val="none" w:color="FFFFFF" w:sz="0"/>
          </w:tcBorders>
          <w:shd w:fill="FFFFFF" w:val="clear"/>
          <w:tcMar>
            <w:top w:type="dxa" w:w="60"/>
            <w:left w:type="dxa" w:w="140"/>
            <w:bottom w:type="dxa" w:w="60"/>
            <w:right w:type="dxa" w:w="140"/>
          </w:tcMar>
          <w:vAlign w:val="top"/>
        </w:tcPr>
        <w:p>
          <w:pPr>
            <w:spacing w:after="80" w:before="0"/>
            <w:jc w:val="left"/>
          </w:pPr>
          <w:r>
            <w:rPr>
              <w:rFonts w:ascii="Arial" w:cs="Arial" w:eastAsia="Arial" w:hAnsi="Arial"/>
              <w:b/>
              <w:bCs/>
              <w:i w:val="false"/>
              <w:iCs w:val="false"/>
              <w:color w:val="0D1B2A"/>
              <w:sz w:val="17"/>
              <w:szCs w:val="17"/>
            </w:rPr>
            <w:t xml:space="preserve">LA CASA EN LA FRONTERA  ·  Salesianos NSP Zaragoza</w:t>
          </w:r>
        </w:p>
      </w:tc>
      <w:tc>
        <w:tcPr>
          <w:tcW w:type="dxa" w:w="3426"/>
          <w:tcBorders>
            <w:top w:val="none" w:color="FFFFFF" w:sz="0"/>
            <w:left w:val="none" w:color="FFFFFF" w:sz="0"/>
            <w:bottom w:val="single" w:color="0B6157" w:sz="4"/>
            <w:right w:val="none" w:color="FFFFFF" w:sz="0"/>
          </w:tcBorders>
          <w:shd w:fill="FFFFFF" w:val="clear"/>
          <w:tcMar>
            <w:top w:type="dxa" w:w="60"/>
            <w:left w:type="dxa" w:w="140"/>
            <w:bottom w:type="dxa" w:w="60"/>
            <w:right w:type="dxa" w:w="140"/>
          </w:tcMar>
          <w:vAlign w:val="top"/>
        </w:tcPr>
        <w:p>
          <w:pPr>
            <w:spacing w:after="80" w:before="0"/>
            <w:jc w:val="right"/>
          </w:pPr>
          <w:r>
            <w:rPr>
              <w:rFonts w:ascii="Arial" w:cs="Arial" w:eastAsia="Arial" w:hAnsi="Arial"/>
              <w:b w:val="false"/>
              <w:bCs w:val="false"/>
              <w:i/>
              <w:iCs/>
              <w:color w:val="717171"/>
              <w:sz w:val="17"/>
              <w:szCs w:val="17"/>
            </w:rPr>
            <w:t xml:space="preserve">Análisis y Prospectiva · Junio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0D1B2A"/>
      <w:sz w:val="34"/>
      <w:szCs w:val="34"/>
    </w:rPr>
  </w:style>
  <w:style w:type="paragraph" w:styleId="Heading2">
    <w:name w:val="Heading 2"/>
    <w:basedOn w:val="Normal"/>
    <w:next w:val="Normal"/>
    <w:qFormat/>
    <w:pPr>
      <w:spacing w:after="120" w:before="320"/>
      <w:outlineLvl w:val="1"/>
    </w:pPr>
    <w:rPr>
      <w:rFonts w:ascii="Georgia" w:cs="Georgia" w:eastAsia="Georgia" w:hAnsi="Georgia"/>
      <w:b/>
      <w:bCs/>
      <w:color w:val="0B6157"/>
      <w:sz w:val="27"/>
      <w:szCs w:val="27"/>
    </w:rPr>
  </w:style>
  <w:style w:type="paragraph" w:styleId="Heading3">
    <w:name w:val="Heading 3"/>
    <w:basedOn w:val="Normal"/>
    <w:next w:val="Normal"/>
    <w:qFormat/>
    <w:pPr>
      <w:spacing w:after="100" w:before="220"/>
      <w:outlineLvl w:val="2"/>
    </w:pPr>
    <w:rPr>
      <w:rFonts w:ascii="Georgia" w:cs="Georgia" w:eastAsia="Georgia" w:hAnsi="Georgia"/>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2026-06-06T07:22:33.936Z</dcterms:created>
  <dcterms:modified xsi:type="dcterms:W3CDTF">2026-06-06T07:22:33.948Z</dcterms:modified>
</cp:coreProperties>
</file>

<file path=docProps/custom.xml><?xml version="1.0" encoding="utf-8"?>
<Properties xmlns="http://schemas.openxmlformats.org/officeDocument/2006/custom-properties" xmlns:vt="http://schemas.openxmlformats.org/officeDocument/2006/docPropsVTypes"/>
</file>