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56"/>
          <w:szCs w:val="56"/>
        </w:rPr>
        <w:t xml:space="preserve">IA PARA FI DOW JONES</w:t>
      </w:r>
    </w:p>
    <w:p>
      <w:pPr>
        <w:spacing w:after="60"/>
      </w:pPr>
      <w:r>
        <w:rPr>
          <w:i/>
          <w:iCs/>
          <w:color w:val="2E74B5"/>
          <w:sz w:val="26"/>
          <w:szCs w:val="26"/>
        </w:rPr>
        <w:t xml:space="preserve">Observaciones, comentarios e hipótesis de trabajo / Notes, comments and working hypotheses</w:t>
      </w:r>
    </w:p>
    <w:p>
      <w:pPr>
        <w:spacing w:after="300"/>
      </w:pPr>
      <w:r>
        <w:rPr>
          <w:color w:val="6B6B6B"/>
          <w:sz w:val="20"/>
          <w:szCs w:val="20"/>
        </w:rPr>
        <w:t xml:space="preserve">Documento bilingüe (español / English) — se va ampliando conforme se prueba la aplicación</w:t>
      </w:r>
    </w:p>
    <w:p>
      <w:pPr>
        <w:pBdr>
          <w:bottom w:val="single" w:color="BFBFBF" w:sz="6" w:space="1"/>
        </w:pBd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75"/>
            <w:shd w:fill="1F3864" w:val="clear"/>
            <w:tcMar>
              <w:top w:type="dxa" w:w="100"/>
              <w:left w:type="dxa" w:w="120"/>
              <w:bottom w:type="dxa" w:w="100"/>
              <w:right w:type="dxa" w:w="120"/>
            </w:tcMar>
            <w:vAlign w:val="top"/>
          </w:tcPr>
          <w:p>
            <w:r>
              <w:rPr>
                <w:b/>
                <w:bCs/>
                <w:color w:val="FFFFFF"/>
              </w:rPr>
              <w:t xml:space="preserve">ESPAÑOL</w:t>
            </w:r>
          </w:p>
        </w:tc>
        <w:tc>
          <w:tcPr>
            <w:tcW w:type="dxa" w:w="4675"/>
            <w:shd w:fill="1F3864" w:val="clear"/>
            <w:tcMar>
              <w:top w:type="dxa" w:w="100"/>
              <w:left w:type="dxa" w:w="120"/>
              <w:bottom w:type="dxa" w:w="100"/>
              <w:right w:type="dxa" w:w="120"/>
            </w:tcMar>
            <w:vAlign w:val="top"/>
          </w:tcPr>
          <w:p>
            <w:r>
              <w:rPr>
                <w:b/>
                <w:bCs/>
                <w:color w:val="FFFFFF"/>
              </w:rPr>
              <w:t xml:space="preserve">ENGLISH</w:t>
            </w:r>
          </w:p>
        </w:tc>
      </w:tr>
      <w:tr>
        <w:tc>
          <w:tcPr>
            <w:tcW w:type="dxa" w:w="4675"/>
            <w:tcMar>
              <w:top w:type="dxa" w:w="100"/>
              <w:left w:type="dxa" w:w="120"/>
              <w:bottom w:type="dxa" w:w="100"/>
              <w:right w:type="dxa" w:w="120"/>
            </w:tcMar>
            <w:vAlign w:val="top"/>
          </w:tcPr>
          <w:p>
            <w:r>
              <w:rPr>
                <w:b w:val="false"/>
                <w:bCs w:val="false"/>
              </w:rPr>
              <w:t xml:space="preserve">Este documento recoge, en orden cronológico, las observaciones, comentarios, hipótesis y pequeños experimentos que se van haciendo sobre el comportamiento del modelo a medida que se prueba la aplicación. No sustituye al documento de especificaciones (que recoge las reglas ya decididas), sino que sirve de cuaderno de bitácora del proceso de aprendizaje sobre el programa y sobre el propio mercado.</w:t>
            </w:r>
          </w:p>
        </w:tc>
        <w:tc>
          <w:tcPr>
            <w:tcW w:type="dxa" w:w="4675"/>
            <w:tcMar>
              <w:top w:type="dxa" w:w="100"/>
              <w:left w:type="dxa" w:w="120"/>
              <w:bottom w:type="dxa" w:w="100"/>
              <w:right w:type="dxa" w:w="120"/>
            </w:tcMar>
            <w:vAlign w:val="top"/>
          </w:tcPr>
          <w:p>
            <w:r>
              <w:rPr>
                <w:b w:val="false"/>
                <w:bCs w:val="false"/>
              </w:rPr>
              <w:t xml:space="preserve">This document records, in chronological order, the observations, comments, hypotheses and small experiments made about the model's behavior as the application is tested. It does not replace the specifications document (which records the rules already decided), but serves as a logbook for the learning process about the program and about the market itself.</w:t>
            </w:r>
          </w:p>
        </w:tc>
      </w:tr>
      <w:tr>
        <w:tc>
          <w:tcPr>
            <w:tcW w:type="dxa" w:w="4675"/>
            <w:shd w:fill="EAF1FA" w:val="clear"/>
            <w:tcMar>
              <w:top w:type="dxa" w:w="100"/>
              <w:left w:type="dxa" w:w="120"/>
              <w:bottom w:type="dxa" w:w="100"/>
              <w:right w:type="dxa" w:w="120"/>
            </w:tcMar>
            <w:vAlign w:val="top"/>
          </w:tcPr>
          <w:p>
            <w:r>
              <w:rPr>
                <w:b/>
                <w:bCs/>
                <w:color w:val="2E74B5"/>
              </w:rPr>
              <w:t xml:space="preserve">17 de julio de 2026 — ¿Merece la pena optimizar el factor de penalización?</w:t>
            </w:r>
          </w:p>
        </w:tc>
        <w:tc>
          <w:tcPr>
            <w:tcW w:type="dxa" w:w="4675"/>
            <w:shd w:fill="EAF1FA" w:val="clear"/>
            <w:tcMar>
              <w:top w:type="dxa" w:w="100"/>
              <w:left w:type="dxa" w:w="120"/>
              <w:bottom w:type="dxa" w:w="100"/>
              <w:right w:type="dxa" w:w="120"/>
            </w:tcMar>
            <w:vAlign w:val="top"/>
          </w:tcPr>
          <w:p>
            <w:r>
              <w:rPr>
                <w:b/>
                <w:bCs/>
                <w:color w:val="2E74B5"/>
              </w:rPr>
              <w:t xml:space="preserve">July 17, 2026 — Is it worth optimizing the penalty factor?</w:t>
            </w:r>
          </w:p>
        </w:tc>
      </w:tr>
      <w:tr>
        <w:tc>
          <w:tcPr>
            <w:tcW w:type="dxa" w:w="4675"/>
            <w:tcMar>
              <w:top w:type="dxa" w:w="100"/>
              <w:left w:type="dxa" w:w="120"/>
              <w:bottom w:type="dxa" w:w="100"/>
              <w:right w:type="dxa" w:w="120"/>
            </w:tcMar>
            <w:vAlign w:val="top"/>
          </w:tcPr>
          <w:p>
            <w:r>
              <w:rPr>
                <w:b w:val="false"/>
                <w:bCs w:val="false"/>
              </w:rPr>
              <w:t xml:space="preserve">Con el factor de penalización fijo en 2 (el valor original, elegido de forma arbitraria), la rentabilidad total obtenida por el modelo en la ventana de 20 sesiones es de -5,591%, mientras que el propio índice Dow Jones tuvo en ese mismo periodo un incremento pequeño pero positivo.</w:t>
            </w:r>
          </w:p>
        </w:tc>
        <w:tc>
          <w:tcPr>
            <w:tcW w:type="dxa" w:w="4675"/>
            <w:tcMar>
              <w:top w:type="dxa" w:w="100"/>
              <w:left w:type="dxa" w:w="120"/>
              <w:bottom w:type="dxa" w:w="100"/>
              <w:right w:type="dxa" w:w="120"/>
            </w:tcMar>
            <w:vAlign w:val="top"/>
          </w:tcPr>
          <w:p>
            <w:r>
              <w:rPr>
                <w:b w:val="false"/>
                <w:bCs w:val="false"/>
              </w:rPr>
              <w:t xml:space="preserve">With the penalty factor fixed at 2 (the original value, chosen arbitrarily), the total return obtained by the model over the 20-session window is -5.591%, while the Dow Jones index itself had a small but positive gain over that same period.</w:t>
            </w:r>
          </w:p>
        </w:tc>
      </w:tr>
      <w:tr>
        <w:tc>
          <w:tcPr>
            <w:tcW w:type="dxa" w:w="4675"/>
            <w:tcMar>
              <w:top w:type="dxa" w:w="100"/>
              <w:left w:type="dxa" w:w="120"/>
              <w:bottom w:type="dxa" w:w="100"/>
              <w:right w:type="dxa" w:w="120"/>
            </w:tcMar>
            <w:vAlign w:val="top"/>
          </w:tcPr>
          <w:p>
            <w:r>
              <w:rPr>
                <w:b w:val="false"/>
                <w:bCs w:val="false"/>
              </w:rPr>
              <w:t xml:space="preserve">Al dejar que la aplicación busque automáticamente el factor que maximiza la rentabilidad de las carteras anteriores (la parte del modelo realmente alcanzable), el factor pasa de 2 a 0,7, y la rentabilidad del modelo mejora sustancialmente hasta +6,004%. La diferencia es de más de 11 puntos porcentuales entre un factor y otro.</w:t>
            </w:r>
          </w:p>
        </w:tc>
        <w:tc>
          <w:tcPr>
            <w:tcW w:type="dxa" w:w="4675"/>
            <w:tcMar>
              <w:top w:type="dxa" w:w="100"/>
              <w:left w:type="dxa" w:w="120"/>
              <w:bottom w:type="dxa" w:w="100"/>
              <w:right w:type="dxa" w:w="120"/>
            </w:tcMar>
            <w:vAlign w:val="top"/>
          </w:tcPr>
          <w:p>
            <w:r>
              <w:rPr>
                <w:b w:val="false"/>
                <w:bCs w:val="false"/>
              </w:rPr>
              <w:t xml:space="preserve">When the application is allowed to automatically search for the factor that maximizes the return of the previous portfolios (the genuinely achievable part of the model), the factor moves from 2 to 0.7, and the model's return improves substantially to +6.004%. The difference is more than 11 percentage points between one factor and the other.</w:t>
            </w:r>
          </w:p>
        </w:tc>
      </w:tr>
      <w:tr>
        <w:tc>
          <w:tcPr>
            <w:tcW w:type="dxa" w:w="4675"/>
            <w:tcMar>
              <w:top w:type="dxa" w:w="100"/>
              <w:left w:type="dxa" w:w="120"/>
              <w:bottom w:type="dxa" w:w="100"/>
              <w:right w:type="dxa" w:w="120"/>
            </w:tcMar>
            <w:vAlign w:val="top"/>
          </w:tcPr>
          <w:p>
            <w:r>
              <w:rPr>
                <w:b w:val="false"/>
                <w:bCs w:val="false"/>
              </w:rPr>
              <w:t xml:space="preserve">Hipótesis inicial: sí parece claramente beneficioso dejar que el modelo optimice el factor de penalización en vez de fijarlo de antemano de forma arbitraria. Queda pendiente comprobar si esta conclusión se sostiene en otras fechas y ventanas de 20 sesiones distintas, antes de darla por consolidada.</w:t>
            </w:r>
          </w:p>
        </w:tc>
        <w:tc>
          <w:tcPr>
            <w:tcW w:type="dxa" w:w="4675"/>
            <w:tcMar>
              <w:top w:type="dxa" w:w="100"/>
              <w:left w:type="dxa" w:w="120"/>
              <w:bottom w:type="dxa" w:w="100"/>
              <w:right w:type="dxa" w:w="120"/>
            </w:tcMar>
            <w:vAlign w:val="top"/>
          </w:tcPr>
          <w:p>
            <w:r>
              <w:rPr>
                <w:b w:val="false"/>
                <w:bCs w:val="false"/>
              </w:rPr>
              <w:t xml:space="preserve">Initial hypothesis: it does seem clearly beneficial to let the model optimize the penalty factor rather than fixing it arbitrarily in advance. It remains to be checked whether this conclusion holds on other dates and different 20-session windows before considering it established.</w:t>
            </w:r>
          </w:p>
        </w:tc>
      </w:tr>
      <w:tr>
        <w:tc>
          <w:tcPr>
            <w:tcW w:type="dxa" w:w="4675"/>
            <w:shd w:fill="EAF1FA" w:val="clear"/>
            <w:tcMar>
              <w:top w:type="dxa" w:w="100"/>
              <w:left w:type="dxa" w:w="120"/>
              <w:bottom w:type="dxa" w:w="100"/>
              <w:right w:type="dxa" w:w="120"/>
            </w:tcMar>
            <w:vAlign w:val="top"/>
          </w:tcPr>
          <w:p>
            <w:r>
              <w:rPr>
                <w:b/>
                <w:bCs/>
                <w:color w:val="2E74B5"/>
              </w:rPr>
              <w:t xml:space="preserve">¿Y el número de componentes de la cartera?</w:t>
            </w:r>
          </w:p>
        </w:tc>
        <w:tc>
          <w:tcPr>
            <w:tcW w:type="dxa" w:w="4675"/>
            <w:shd w:fill="EAF1FA" w:val="clear"/>
            <w:tcMar>
              <w:top w:type="dxa" w:w="100"/>
              <w:left w:type="dxa" w:w="120"/>
              <w:bottom w:type="dxa" w:w="100"/>
              <w:right w:type="dxa" w:w="120"/>
            </w:tcMar>
            <w:vAlign w:val="top"/>
          </w:tcPr>
          <w:p>
            <w:r>
              <w:rPr>
                <w:b/>
                <w:bCs/>
                <w:color w:val="2E74B5"/>
              </w:rPr>
              <w:t xml:space="preserve">What about the number of portfolio components?</w:t>
            </w:r>
          </w:p>
        </w:tc>
      </w:tr>
      <w:tr>
        <w:tc>
          <w:tcPr>
            <w:tcW w:type="dxa" w:w="4675"/>
            <w:tcMar>
              <w:top w:type="dxa" w:w="100"/>
              <w:left w:type="dxa" w:w="120"/>
              <w:bottom w:type="dxa" w:w="100"/>
              <w:right w:type="dxa" w:w="120"/>
            </w:tcMar>
            <w:vAlign w:val="top"/>
          </w:tcPr>
          <w:p>
            <w:r>
              <w:rPr>
                <w:b w:val="false"/>
                <w:bCs w:val="false"/>
              </w:rPr>
              <w:t xml:space="preserve">Manteniendo el factor de penalización fijo en 2, pero cambiando el número de componentes de 5 (el valor de partida) a 4, la función beneficio pasa de -5,591% a +4,717%: una mejora de más de 10 puntos porcentuales solo por ajustar cuántos valores forman la cartera.</w:t>
            </w:r>
          </w:p>
        </w:tc>
        <w:tc>
          <w:tcPr>
            <w:tcW w:type="dxa" w:w="4675"/>
            <w:tcMar>
              <w:top w:type="dxa" w:w="100"/>
              <w:left w:type="dxa" w:w="120"/>
              <w:bottom w:type="dxa" w:w="100"/>
              <w:right w:type="dxa" w:w="120"/>
            </w:tcMar>
            <w:vAlign w:val="top"/>
          </w:tcPr>
          <w:p>
            <w:r>
              <w:rPr>
                <w:b w:val="false"/>
                <w:bCs w:val="false"/>
              </w:rPr>
              <w:t xml:space="preserve">Keeping the penalty factor fixed at 2, but changing the number of components from 5 (the starting value) to 4, the return function goes from -5.591% to +4.717%: an improvement of more than 10 percentage points just by adjusting how many stocks make up the portfolio.</w:t>
            </w:r>
          </w:p>
        </w:tc>
      </w:tr>
      <w:tr>
        <w:tc>
          <w:tcPr>
            <w:tcW w:type="dxa" w:w="4675"/>
            <w:tcMar>
              <w:top w:type="dxa" w:w="100"/>
              <w:left w:type="dxa" w:w="120"/>
              <w:bottom w:type="dxa" w:w="100"/>
              <w:right w:type="dxa" w:w="120"/>
            </w:tcMar>
            <w:vAlign w:val="top"/>
          </w:tcPr>
          <w:p>
            <w:r>
              <w:rPr>
                <w:b w:val="false"/>
                <w:bCs w:val="false"/>
              </w:rPr>
              <w:t xml:space="preserve">Dejando que la aplicación optimice a la vez el factor de penalización (que pasa a 0,7) y el número de componentes (que pasa a 4), la función beneficio sube hasta +7,822% — la mejor combinación probada hasta el momento, y muy por encima tanto del punto de partida (factor 2, 5 componentes) como de optimizar una sola variable por separado.</w:t>
            </w:r>
          </w:p>
        </w:tc>
        <w:tc>
          <w:tcPr>
            <w:tcW w:type="dxa" w:w="4675"/>
            <w:tcMar>
              <w:top w:type="dxa" w:w="100"/>
              <w:left w:type="dxa" w:w="120"/>
              <w:bottom w:type="dxa" w:w="100"/>
              <w:right w:type="dxa" w:w="120"/>
            </w:tcMar>
            <w:vAlign w:val="top"/>
          </w:tcPr>
          <w:p>
            <w:r>
              <w:rPr>
                <w:b w:val="false"/>
                <w:bCs w:val="false"/>
              </w:rPr>
              <w:t xml:space="preserve">Letting the application optimize both the penalty factor (which moves to 0.7) and the number of components (which moves to 4) at the same time, the return function rises to +7.822% — the best combination tried so far, and well above both the starting point (factor 2, 5 components) and optimizing a single variable on its own.</w:t>
            </w:r>
          </w:p>
        </w:tc>
      </w:tr>
      <w:tr>
        <w:tc>
          <w:tcPr>
            <w:tcW w:type="dxa" w:w="4675"/>
            <w:tcMar>
              <w:top w:type="dxa" w:w="100"/>
              <w:left w:type="dxa" w:w="120"/>
              <w:bottom w:type="dxa" w:w="100"/>
              <w:right w:type="dxa" w:w="120"/>
            </w:tcMar>
            <w:vAlign w:val="top"/>
          </w:tcPr>
          <w:p>
            <w:r>
              <w:rPr>
                <w:b w:val="false"/>
                <w:bCs w:val="false"/>
              </w:rPr>
              <w:t xml:space="preserve">Esto refuerza la hipótesis: dejar que el modelo optimice el número de componentes, además del factor, también parece beneficioso. Se mantiene pendiente comprobar si esta conclusión se sostiene en otras fechas.</w:t>
            </w:r>
          </w:p>
        </w:tc>
        <w:tc>
          <w:tcPr>
            <w:tcW w:type="dxa" w:w="4675"/>
            <w:tcMar>
              <w:top w:type="dxa" w:w="100"/>
              <w:left w:type="dxa" w:w="120"/>
              <w:bottom w:type="dxa" w:w="100"/>
              <w:right w:type="dxa" w:w="120"/>
            </w:tcMar>
            <w:vAlign w:val="top"/>
          </w:tcPr>
          <w:p>
            <w:r>
              <w:rPr>
                <w:b w:val="false"/>
                <w:bCs w:val="false"/>
              </w:rPr>
              <w:t xml:space="preserve">This reinforces the hypothesis: letting the model optimize the number of components, in addition to the factor, also seems beneficial. It remains to be checked whether this conclusion holds on other dates.</w:t>
            </w:r>
          </w:p>
        </w:tc>
      </w:tr>
      <w:tr>
        <w:tc>
          <w:tcPr>
            <w:tcW w:type="dxa" w:w="4675"/>
            <w:shd w:fill="EAF1FA" w:val="clear"/>
            <w:tcMar>
              <w:top w:type="dxa" w:w="100"/>
              <w:left w:type="dxa" w:w="120"/>
              <w:bottom w:type="dxa" w:w="100"/>
              <w:right w:type="dxa" w:w="120"/>
            </w:tcMar>
            <w:vAlign w:val="top"/>
          </w:tcPr>
          <w:p>
            <w:r>
              <w:rPr>
                <w:b/>
                <w:bCs/>
                <w:color w:val="2E74B5"/>
              </w:rPr>
              <w:t xml:space="preserve">¿Y el tope de diversificación?</w:t>
            </w:r>
          </w:p>
        </w:tc>
        <w:tc>
          <w:tcPr>
            <w:tcW w:type="dxa" w:w="4675"/>
            <w:shd w:fill="EAF1FA" w:val="clear"/>
            <w:tcMar>
              <w:top w:type="dxa" w:w="100"/>
              <w:left w:type="dxa" w:w="120"/>
              <w:bottom w:type="dxa" w:w="100"/>
              <w:right w:type="dxa" w:w="120"/>
            </w:tcMar>
            <w:vAlign w:val="top"/>
          </w:tcPr>
          <w:p>
            <w:r>
              <w:rPr>
                <w:b/>
                <w:bCs/>
                <w:color w:val="2E74B5"/>
              </w:rPr>
              <w:t xml:space="preserve">What about the diversification cap?</w:t>
            </w:r>
          </w:p>
        </w:tc>
      </w:tr>
      <w:tr>
        <w:tc>
          <w:tcPr>
            <w:tcW w:type="dxa" w:w="4675"/>
            <w:tcMar>
              <w:top w:type="dxa" w:w="100"/>
              <w:left w:type="dxa" w:w="120"/>
              <w:bottom w:type="dxa" w:w="100"/>
              <w:right w:type="dxa" w:w="120"/>
            </w:tcMar>
            <w:vAlign w:val="top"/>
          </w:tcPr>
          <w:p>
            <w:r>
              <w:rPr>
                <w:b w:val="false"/>
                <w:bCs w:val="false"/>
              </w:rPr>
              <w:t xml:space="preserve">Optimizando solo el tope de diversificación (dejando el factor en 2 y el número de componentes en 5, los valores de partida), el beneficio mejora de -5,591% a -1,145%: una mejora clara, aunque el resultado sigue siendo negativo.</w:t>
            </w:r>
          </w:p>
        </w:tc>
        <w:tc>
          <w:tcPr>
            <w:tcW w:type="dxa" w:w="4675"/>
            <w:tcMar>
              <w:top w:type="dxa" w:w="100"/>
              <w:left w:type="dxa" w:w="120"/>
              <w:bottom w:type="dxa" w:w="100"/>
              <w:right w:type="dxa" w:w="120"/>
            </w:tcMar>
            <w:vAlign w:val="top"/>
          </w:tcPr>
          <w:p>
            <w:r>
              <w:rPr>
                <w:b w:val="false"/>
                <w:bCs w:val="false"/>
              </w:rPr>
              <w:t xml:space="preserve">Optimizing only the diversification cap (leaving the factor at 2 and the number of components at 5, the starting values), the return improves from -5.591% to -1.145%: a clear improvement, although the result is still negative.</w:t>
            </w:r>
          </w:p>
        </w:tc>
      </w:tr>
      <w:tr>
        <w:tc>
          <w:tcPr>
            <w:tcW w:type="dxa" w:w="4675"/>
            <w:tcMar>
              <w:top w:type="dxa" w:w="100"/>
              <w:left w:type="dxa" w:w="120"/>
              <w:bottom w:type="dxa" w:w="100"/>
              <w:right w:type="dxa" w:w="120"/>
            </w:tcMar>
            <w:vAlign w:val="top"/>
          </w:tcPr>
          <w:p>
            <w:r>
              <w:rPr>
                <w:b w:val="false"/>
                <w:bCs w:val="false"/>
              </w:rPr>
              <w:t xml:space="preserve">Optimizando primero el factor de penalización (que pasa a 0,7) y después el tope de diversificación (con 5 componentes), el tope óptimo resulta ser 45% en vez del 40% de partida, y el beneficio sube hasta +6,108%.</w:t>
            </w:r>
          </w:p>
        </w:tc>
        <w:tc>
          <w:tcPr>
            <w:tcW w:type="dxa" w:w="4675"/>
            <w:tcMar>
              <w:top w:type="dxa" w:w="100"/>
              <w:left w:type="dxa" w:w="120"/>
              <w:bottom w:type="dxa" w:w="100"/>
              <w:right w:type="dxa" w:w="120"/>
            </w:tcMar>
            <w:vAlign w:val="top"/>
          </w:tcPr>
          <w:p>
            <w:r>
              <w:rPr>
                <w:b w:val="false"/>
                <w:bCs w:val="false"/>
              </w:rPr>
              <w:t xml:space="preserve">Optimizing the penalty factor first (which moves to 0.7) and then the diversification cap (with 5 components), the optimal cap turns out to be 45% instead of the starting 40%, and the return rises to +6.108%.</w:t>
            </w:r>
          </w:p>
        </w:tc>
      </w:tr>
      <w:tr>
        <w:tc>
          <w:tcPr>
            <w:tcW w:type="dxa" w:w="4675"/>
            <w:tcMar>
              <w:top w:type="dxa" w:w="100"/>
              <w:left w:type="dxa" w:w="120"/>
              <w:bottom w:type="dxa" w:w="100"/>
              <w:right w:type="dxa" w:w="120"/>
            </w:tcMar>
            <w:vAlign w:val="top"/>
          </w:tcPr>
          <w:p>
            <w:r>
              <w:rPr>
                <w:b w:val="false"/>
                <w:bCs w:val="false"/>
              </w:rPr>
              <w:t xml:space="preserve">Optimizando la cadena completa en orden (factor → 0,7; número de componentes → 4; tope de diversificación, calculado a continuación), el tope óptimo se queda invariable en el 40% de partida, y el beneficio final es +7,822% — exactamente el mismo resultado que se obtuvo optimizando solo el factor y el número de componentes, sin tocar el tope. Esto confirma que, en esa combinación concreta (factor 0,7, 4 componentes), el tope del 40% no llega a ser una restricción activa: ningún componente necesita superarlo, así que cambiar su valor no afecta al resultado.</w:t>
            </w:r>
          </w:p>
        </w:tc>
        <w:tc>
          <w:tcPr>
            <w:tcW w:type="dxa" w:w="4675"/>
            <w:tcMar>
              <w:top w:type="dxa" w:w="100"/>
              <w:left w:type="dxa" w:w="120"/>
              <w:bottom w:type="dxa" w:w="100"/>
              <w:right w:type="dxa" w:w="120"/>
            </w:tcMar>
            <w:vAlign w:val="top"/>
          </w:tcPr>
          <w:p>
            <w:r>
              <w:rPr>
                <w:b w:val="false"/>
                <w:bCs w:val="false"/>
              </w:rPr>
              <w:t xml:space="preserve">Optimizing the full chain in order (factor → 0.7; number of components → 4; diversification cap, calculated next), the optimal cap stays unchanged at the starting 40%, and the final return is +7.822% — exactly the same result obtained by optimizing only the factor and the number of components, without touching the cap. This confirms that, in that specific combination (factor 0.7, 4 components), the 40% cap never becomes an active constraint: no component needs to exceed it, so changing its value doesn't affect the result.</w:t>
            </w:r>
          </w:p>
        </w:tc>
      </w:tr>
      <w:tr>
        <w:tc>
          <w:tcPr>
            <w:tcW w:type="dxa" w:w="4675"/>
            <w:tcMar>
              <w:top w:type="dxa" w:w="100"/>
              <w:left w:type="dxa" w:w="120"/>
              <w:bottom w:type="dxa" w:w="100"/>
              <w:right w:type="dxa" w:w="120"/>
            </w:tcMar>
            <w:vAlign w:val="top"/>
          </w:tcPr>
          <w:p>
            <w:r>
              <w:rPr>
                <w:b w:val="false"/>
                <w:bCs w:val="false"/>
              </w:rPr>
              <w:t xml:space="preserve">Conclusión provisional: el tope de diversificación sí puede aportar mejoras por sí solo o combinado con el factor, pero su efecto depende de si realmente actúa como restricción en cada combinación de las demás variables — no siempre es determinante.</w:t>
            </w:r>
          </w:p>
        </w:tc>
        <w:tc>
          <w:tcPr>
            <w:tcW w:type="dxa" w:w="4675"/>
            <w:tcMar>
              <w:top w:type="dxa" w:w="100"/>
              <w:left w:type="dxa" w:w="120"/>
              <w:bottom w:type="dxa" w:w="100"/>
              <w:right w:type="dxa" w:w="120"/>
            </w:tcMar>
            <w:vAlign w:val="top"/>
          </w:tcPr>
          <w:p>
            <w:r>
              <w:rPr>
                <w:b w:val="false"/>
                <w:bCs w:val="false"/>
              </w:rPr>
              <w:t xml:space="preserve">Provisional conclusion: the diversification cap can indeed bring improvements on its own or combined with the factor, but its effect depends on whether it actually acts as a binding constraint in each combination of the other variables — it isn't always decisive.</w:t>
            </w:r>
          </w:p>
        </w:tc>
      </w:tr>
      <w:tr>
        <w:tc>
          <w:tcPr>
            <w:tcW w:type="dxa" w:w="4675"/>
            <w:shd w:fill="EAF1FA" w:val="clear"/>
            <w:tcMar>
              <w:top w:type="dxa" w:w="100"/>
              <w:left w:type="dxa" w:w="120"/>
              <w:bottom w:type="dxa" w:w="100"/>
              <w:right w:type="dxa" w:w="120"/>
            </w:tcMar>
            <w:vAlign w:val="top"/>
          </w:tcPr>
          <w:p>
            <w:r>
              <w:rPr>
                <w:b/>
                <w:bCs/>
                <w:color w:val="2E74B5"/>
              </w:rPr>
              <w:t xml:space="preserve">¿Y el reparto del peso liberado?</w:t>
            </w:r>
          </w:p>
        </w:tc>
        <w:tc>
          <w:tcPr>
            <w:tcW w:type="dxa" w:w="4675"/>
            <w:shd w:fill="EAF1FA" w:val="clear"/>
            <w:tcMar>
              <w:top w:type="dxa" w:w="100"/>
              <w:left w:type="dxa" w:w="120"/>
              <w:bottom w:type="dxa" w:w="100"/>
              <w:right w:type="dxa" w:w="120"/>
            </w:tcMar>
            <w:vAlign w:val="top"/>
          </w:tcPr>
          <w:p>
            <w:r>
              <w:rPr>
                <w:b/>
                <w:bCs/>
                <w:color w:val="2E74B5"/>
              </w:rPr>
              <w:t xml:space="preserve">What about the distribution of freed-up weight?</w:t>
            </w:r>
          </w:p>
        </w:tc>
      </w:tr>
      <w:tr>
        <w:tc>
          <w:tcPr>
            <w:tcW w:type="dxa" w:w="4675"/>
            <w:tcMar>
              <w:top w:type="dxa" w:w="100"/>
              <w:left w:type="dxa" w:w="120"/>
              <w:bottom w:type="dxa" w:w="100"/>
              <w:right w:type="dxa" w:w="120"/>
            </w:tcMar>
            <w:vAlign w:val="top"/>
          </w:tcPr>
          <w:p>
            <w:r>
              <w:rPr>
                <w:b w:val="false"/>
                <w:bCs w:val="false"/>
              </w:rPr>
              <w:t xml:space="preserve">Se probó un método "proporcional" para el reparto del peso liberado (en vez de a partes iguales, repartirlo según la puntuación de cada componente ese día). El resultado: no mejora en nada, ni probado solo ni combinado con las demás variables ya optimizadas.</w:t>
            </w:r>
          </w:p>
        </w:tc>
        <w:tc>
          <w:tcPr>
            <w:tcW w:type="dxa" w:w="4675"/>
            <w:tcMar>
              <w:top w:type="dxa" w:w="100"/>
              <w:left w:type="dxa" w:w="120"/>
              <w:bottom w:type="dxa" w:w="100"/>
              <w:right w:type="dxa" w:w="120"/>
            </w:tcMar>
            <w:vAlign w:val="top"/>
          </w:tcPr>
          <w:p>
            <w:r>
              <w:rPr>
                <w:b w:val="false"/>
                <w:bCs w:val="false"/>
              </w:rPr>
              <w:t xml:space="preserve">A "proportional" method was tried for distributing freed-up weight (instead of splitting it equally, distributing it according to each component's score that day). The result: it doesn't improve anything, whether tried alone or combined with the other variables already optimized.</w:t>
            </w:r>
          </w:p>
        </w:tc>
      </w:tr>
      <w:tr>
        <w:tc>
          <w:tcPr>
            <w:tcW w:type="dxa" w:w="4675"/>
            <w:tcMar>
              <w:top w:type="dxa" w:w="100"/>
              <w:left w:type="dxa" w:w="120"/>
              <w:bottom w:type="dxa" w:w="100"/>
              <w:right w:type="dxa" w:w="120"/>
            </w:tcMar>
            <w:vAlign w:val="top"/>
          </w:tcPr>
          <w:p>
            <w:r>
              <w:rPr>
                <w:b w:val="false"/>
                <w:bCs w:val="false"/>
              </w:rPr>
              <w:t xml:space="preserve">A raíz de esto, se introdujo un tercer método, "libre", que da todo el peso liberado al componente con mejor retorno conocido al día siguiente. Por construcción, este método siempre iguala o supera a los demás, precisamente porque usa información (la cotización de mañana) que no estaría disponible en una decisión real tomada hoy. Por eso se ha dejado fuera de la "cadena de selección" automática (que aspira a mostrar una expectativa realista), y queda disponible solo para explorarlo de forma manual, como referencia del límite superior teórico del modelo.</w:t>
            </w:r>
          </w:p>
        </w:tc>
        <w:tc>
          <w:tcPr>
            <w:tcW w:type="dxa" w:w="4675"/>
            <w:tcMar>
              <w:top w:type="dxa" w:w="100"/>
              <w:left w:type="dxa" w:w="120"/>
              <w:bottom w:type="dxa" w:w="100"/>
              <w:right w:type="dxa" w:w="120"/>
            </w:tcMar>
            <w:vAlign w:val="top"/>
          </w:tcPr>
          <w:p>
            <w:r>
              <w:rPr>
                <w:b w:val="false"/>
                <w:bCs w:val="false"/>
              </w:rPr>
              <w:t xml:space="preserve">As a result, a third method, "free", was introduced, which gives all the freed-up weight to the component with the best known return the following day. By construction, this method always matches or beats the others, precisely because it uses information (tomorrow's price) that would not be available for a real decision made today. That is why it has been left out of the automatic "selection chain" (which aims to show a realistic expectation), and remains available only to explore manually, as a reference for the model's theoretical upper bound.</w:t>
            </w:r>
          </w:p>
        </w:tc>
      </w:tr>
      <w:tr>
        <w:tc>
          <w:tcPr>
            <w:tcW w:type="dxa" w:w="4675"/>
            <w:tcMar>
              <w:top w:type="dxa" w:w="100"/>
              <w:left w:type="dxa" w:w="120"/>
              <w:bottom w:type="dxa" w:w="100"/>
              <w:right w:type="dxa" w:w="120"/>
            </w:tcMar>
            <w:vAlign w:val="top"/>
          </w:tcPr>
          <w:p>
            <w:r>
              <w:rPr>
                <w:b w:val="false"/>
                <w:bCs w:val="false"/>
              </w:rPr>
              <w:t xml:space="preserve">Conclusión: dentro de los métodos realmente ejecutables (fijo y proporcional), optimizar la asignación del peso liberado no aporta ningún beneficio a la función que define el rendimiento máximo del fondo. A diferencia del factor de penalización, el número de componentes o el tope de diversificación —que sí mostraron mejoras al dejar que la IA los ajustara—, esta variable en concreto parece indiferente al resultado.</w:t>
            </w:r>
          </w:p>
        </w:tc>
        <w:tc>
          <w:tcPr>
            <w:tcW w:type="dxa" w:w="4675"/>
            <w:tcMar>
              <w:top w:type="dxa" w:w="100"/>
              <w:left w:type="dxa" w:w="120"/>
              <w:bottom w:type="dxa" w:w="100"/>
              <w:right w:type="dxa" w:w="120"/>
            </w:tcMar>
            <w:vAlign w:val="top"/>
          </w:tcPr>
          <w:p>
            <w:r>
              <w:rPr>
                <w:b w:val="false"/>
                <w:bCs w:val="false"/>
              </w:rPr>
              <w:t xml:space="preserve">Conclusion: among the genuinely executable methods (fixed and proportional), optimizing the allocation of freed-up weight brings no benefit to the function that defines the fund's maximum return. Unlike the penalty factor, the number of components, or the diversification cap — which did show improvements when the AI was allowed to adjust them — this particular variable seems indifferent to the result.</w:t>
            </w:r>
          </w:p>
        </w:tc>
      </w:tr>
      <w:tr>
        <w:tc>
          <w:tcPr>
            <w:tcW w:type="dxa" w:w="4675"/>
            <w:shd w:fill="EAF1FA" w:val="clear"/>
            <w:tcMar>
              <w:top w:type="dxa" w:w="100"/>
              <w:left w:type="dxa" w:w="120"/>
              <w:bottom w:type="dxa" w:w="100"/>
              <w:right w:type="dxa" w:w="120"/>
            </w:tcMar>
            <w:vAlign w:val="top"/>
          </w:tcPr>
          <w:p>
            <w:r>
              <w:rPr>
                <w:b/>
                <w:bCs/>
                <w:color w:val="2E74B5"/>
              </w:rPr>
              <w:t xml:space="preserve">Revisión con espíritu crítico — el criterio de relleno con comodines</w:t>
            </w:r>
          </w:p>
        </w:tc>
        <w:tc>
          <w:tcPr>
            <w:tcW w:type="dxa" w:w="4675"/>
            <w:shd w:fill="EAF1FA" w:val="clear"/>
            <w:tcMar>
              <w:top w:type="dxa" w:w="100"/>
              <w:left w:type="dxa" w:w="120"/>
              <w:bottom w:type="dxa" w:w="100"/>
              <w:right w:type="dxa" w:w="120"/>
            </w:tcMar>
            <w:vAlign w:val="top"/>
          </w:tcPr>
          <w:p>
            <w:r>
              <w:rPr>
                <w:b/>
                <w:bCs/>
                <w:color w:val="2E74B5"/>
              </w:rPr>
              <w:t xml:space="preserve">Critical review — the wildcard fill-in criterion</w:t>
            </w:r>
          </w:p>
        </w:tc>
      </w:tr>
      <w:tr>
        <w:tc>
          <w:tcPr>
            <w:tcW w:type="dxa" w:w="4675"/>
            <w:tcMar>
              <w:top w:type="dxa" w:w="100"/>
              <w:left w:type="dxa" w:w="120"/>
              <w:bottom w:type="dxa" w:w="100"/>
              <w:right w:type="dxa" w:w="120"/>
            </w:tcMar>
            <w:vAlign w:val="top"/>
          </w:tcPr>
          <w:p>
            <w:r>
              <w:rPr>
                <w:b w:val="false"/>
                <w:bCs w:val="false"/>
              </w:rPr>
              <w:t xml:space="preserve">Al revisar desde el principio las reglas de selección, se detectó una segunda anomalía de signo, del mismo tipo que la ya corregida en la regla del producto de incrementos ("menos por menos da más"). Cuando hace falta rellenar la cartera con componentes de puntuación 0 ("comodines"), el criterio original los ordenaba por la 2ª derivada (el cociente incremento_hoy / incremento_ayer). Pero dividir entre un incremento negativo invierte el signo del resultado, lo que podía colocar por delante a una caída que se acelera frente a un valor que ya ha girado a positivo — justo lo contrario de lo deseable.</w:t>
            </w:r>
          </w:p>
        </w:tc>
        <w:tc>
          <w:tcPr>
            <w:tcW w:type="dxa" w:w="4675"/>
            <w:tcMar>
              <w:top w:type="dxa" w:w="100"/>
              <w:left w:type="dxa" w:w="120"/>
              <w:bottom w:type="dxa" w:w="100"/>
              <w:right w:type="dxa" w:w="120"/>
            </w:tcMar>
            <w:vAlign w:val="top"/>
          </w:tcPr>
          <w:p>
            <w:r>
              <w:rPr>
                <w:b w:val="false"/>
                <w:bCs w:val="false"/>
              </w:rPr>
              <w:t xml:space="preserve">While reviewing the selection rules from the start, a second sign-related anomaly was found, of the same kind already fixed in the increment-product rule ("negative times negative gives positive"). When the portfolio needs to be filled with score-0 components ("wildcards"), the original criterion ranked them by the 2nd derivative (the ratio today's change / yesterday's change). But dividing by a negative change flips the sign of the result, which could place an accelerating decline ahead of a stock that had already turned positive — exactly the opposite of what is desirable.</w:t>
            </w:r>
          </w:p>
        </w:tc>
      </w:tr>
      <w:tr>
        <w:tc>
          <w:tcPr>
            <w:tcW w:type="dxa" w:w="4675"/>
            <w:tcMar>
              <w:top w:type="dxa" w:w="100"/>
              <w:left w:type="dxa" w:w="120"/>
              <w:bottom w:type="dxa" w:w="100"/>
              <w:right w:type="dxa" w:w="120"/>
            </w:tcMar>
            <w:vAlign w:val="top"/>
          </w:tcPr>
          <w:p>
            <w:r>
              <w:rPr>
                <w:b w:val="false"/>
                <w:bCs w:val="false"/>
              </w:rPr>
              <w:t xml:space="preserve">Corrección aplicada: los comodines se ordenan ahora directamente por el incremento de HOY (de mayor a menor), sin usar ningún cociente. Con dos desempates adicionales para garantizar un resultado siempre determinista: 2º, el incremento de ayer (de mayor a menor); 3º, el orden alfabético del ticker. Con esto, un valor que hoy ya haya girado a positivo (aunque cayera ayer) siempre queda por delante de uno que hoy siga cayendo, y entre los que siguen cayendo, se prioriza al que menos ha caído.</w:t>
            </w:r>
          </w:p>
        </w:tc>
        <w:tc>
          <w:tcPr>
            <w:tcW w:type="dxa" w:w="4675"/>
            <w:tcMar>
              <w:top w:type="dxa" w:w="100"/>
              <w:left w:type="dxa" w:w="120"/>
              <w:bottom w:type="dxa" w:w="100"/>
              <w:right w:type="dxa" w:w="120"/>
            </w:tcMar>
            <w:vAlign w:val="top"/>
          </w:tcPr>
          <w:p>
            <w:r>
              <w:rPr>
                <w:b w:val="false"/>
                <w:bCs w:val="false"/>
              </w:rPr>
              <w:t xml:space="preserve">Correction applied: wildcards are now ranked directly by TODAY's change (from highest to lowest), without using any ratio. With two additional tie-breaks to guarantee an always-deterministic result: 2nd, yesterday's change (highest to lowest); 3rd, the ticker's alphabetical order. With this, a stock that has already turned positive today (even if it fell yesterday) always ranks ahead of one that is still falling today, and among those still falling, the one that fell the least is prioritized.</w:t>
            </w:r>
          </w:p>
        </w:tc>
      </w:tr>
      <w:tr>
        <w:tc>
          <w:tcPr>
            <w:tcW w:type="dxa" w:w="4675"/>
            <w:shd w:fill="EAF1FA" w:val="clear"/>
            <w:tcMar>
              <w:top w:type="dxa" w:w="100"/>
              <w:left w:type="dxa" w:w="120"/>
              <w:bottom w:type="dxa" w:w="100"/>
              <w:right w:type="dxa" w:w="120"/>
            </w:tcMar>
            <w:vAlign w:val="top"/>
          </w:tcPr>
          <w:p>
            <w:r>
              <w:rPr>
                <w:b/>
                <w:bCs/>
                <w:color w:val="2E74B5"/>
              </w:rPr>
              <w:t xml:space="preserve">¿Y el suavizado EMA (alfa)?</w:t>
            </w:r>
          </w:p>
        </w:tc>
        <w:tc>
          <w:tcPr>
            <w:tcW w:type="dxa" w:w="4675"/>
            <w:shd w:fill="EAF1FA" w:val="clear"/>
            <w:tcMar>
              <w:top w:type="dxa" w:w="100"/>
              <w:left w:type="dxa" w:w="120"/>
              <w:bottom w:type="dxa" w:w="100"/>
              <w:right w:type="dxa" w:w="120"/>
            </w:tcMar>
            <w:vAlign w:val="top"/>
          </w:tcPr>
          <w:p>
            <w:r>
              <w:rPr>
                <w:b/>
                <w:bCs/>
                <w:color w:val="2E74B5"/>
              </w:rPr>
              <w:t xml:space="preserve">What about the EMA smoothing (alpha)?</w:t>
            </w:r>
          </w:p>
        </w:tc>
      </w:tr>
      <w:tr>
        <w:tc>
          <w:tcPr>
            <w:tcW w:type="dxa" w:w="4675"/>
            <w:tcMar>
              <w:top w:type="dxa" w:w="100"/>
              <w:left w:type="dxa" w:w="120"/>
              <w:bottom w:type="dxa" w:w="100"/>
              <w:right w:type="dxa" w:w="120"/>
            </w:tcMar>
            <w:vAlign w:val="top"/>
          </w:tcPr>
          <w:p>
            <w:r>
              <w:rPr>
                <w:b w:val="false"/>
                <w:bCs w:val="false"/>
              </w:rPr>
              <w:t xml:space="preserve">La optimización del factor de suavizado alfa (Opción A: puntuación basada en EMA_hoy × EMA_ayer) no garantiza que mejore el resultado final obtenido. A diferencia del factor de penalización, el número de componentes o el tope de diversificación, cuya optimización sí mostró mejoras claras, el efecto de suavizar la puntuación con memoria de sesiones anteriores no se traduce de forma consistente en una mayor rentabilidad.</w:t>
            </w:r>
          </w:p>
        </w:tc>
        <w:tc>
          <w:tcPr>
            <w:tcW w:type="dxa" w:w="4675"/>
            <w:tcMar>
              <w:top w:type="dxa" w:w="100"/>
              <w:left w:type="dxa" w:w="120"/>
              <w:bottom w:type="dxa" w:w="100"/>
              <w:right w:type="dxa" w:w="120"/>
            </w:tcMar>
            <w:vAlign w:val="top"/>
          </w:tcPr>
          <w:p>
            <w:r>
              <w:rPr>
                <w:b w:val="false"/>
                <w:bCs w:val="false"/>
              </w:rPr>
              <w:t xml:space="preserve">Optimizing the smoothing factor alpha (Option A: EMA_today × EMA_yesterday-based scoring) does not guarantee an improvement in the final result obtained. Unlike the penalty factor, the number of components, or the diversification cap, whose optimization did show clear improvements, the effect of smoothing the score with memory from earlier sessions does not consistently translate into a higher return.</w:t>
            </w:r>
          </w:p>
        </w:tc>
      </w:tr>
      <w:tr>
        <w:tc>
          <w:tcPr>
            <w:tcW w:type="dxa" w:w="4675"/>
            <w:shd w:fill="EAF1FA" w:val="clear"/>
            <w:tcMar>
              <w:top w:type="dxa" w:w="100"/>
              <w:left w:type="dxa" w:w="120"/>
              <w:bottom w:type="dxa" w:w="100"/>
              <w:right w:type="dxa" w:w="120"/>
            </w:tcMar>
            <w:vAlign w:val="top"/>
          </w:tcPr>
          <w:p>
            <w:r>
              <w:rPr>
                <w:b/>
                <w:bCs/>
                <w:color w:val="2E74B5"/>
              </w:rPr>
              <w:t xml:space="preserve">¿Y la longitud (amplitud) del backtest?</w:t>
            </w:r>
          </w:p>
        </w:tc>
        <w:tc>
          <w:tcPr>
            <w:tcW w:type="dxa" w:w="4675"/>
            <w:shd w:fill="EAF1FA" w:val="clear"/>
            <w:tcMar>
              <w:top w:type="dxa" w:w="100"/>
              <w:left w:type="dxa" w:w="120"/>
              <w:bottom w:type="dxa" w:w="100"/>
              <w:right w:type="dxa" w:w="120"/>
            </w:tcMar>
            <w:vAlign w:val="top"/>
          </w:tcPr>
          <w:p>
            <w:r>
              <w:rPr>
                <w:b/>
                <w:bCs/>
                <w:color w:val="2E74B5"/>
              </w:rPr>
              <w:t xml:space="preserve">What about the backtest length (window size)?</w:t>
            </w:r>
          </w:p>
        </w:tc>
      </w:tr>
      <w:tr>
        <w:tc>
          <w:tcPr>
            <w:tcW w:type="dxa" w:w="4675"/>
            <w:tcMar>
              <w:top w:type="dxa" w:w="100"/>
              <w:left w:type="dxa" w:w="120"/>
              <w:bottom w:type="dxa" w:w="100"/>
              <w:right w:type="dxa" w:w="120"/>
            </w:tcMar>
            <w:vAlign w:val="top"/>
          </w:tcPr>
          <w:p>
            <w:r>
              <w:rPr>
                <w:b w:val="false"/>
                <w:bCs w:val="false"/>
              </w:rPr>
              <w:t xml:space="preserve">Los resultados de cambiar la longitud de la ventana del backtest (10, 15, 20, 30, 40 o 60 sesiones) son inciertos: no se observa un patrón claro de que ventanas más largas o más cortas mejoren sistemáticamente la función beneficio.</w:t>
            </w:r>
          </w:p>
        </w:tc>
        <w:tc>
          <w:tcPr>
            <w:tcW w:type="dxa" w:w="4675"/>
            <w:tcMar>
              <w:top w:type="dxa" w:w="100"/>
              <w:left w:type="dxa" w:w="120"/>
              <w:bottom w:type="dxa" w:w="100"/>
              <w:right w:type="dxa" w:w="120"/>
            </w:tcMar>
            <w:vAlign w:val="top"/>
          </w:tcPr>
          <w:p>
            <w:r>
              <w:rPr>
                <w:b w:val="false"/>
                <w:bCs w:val="false"/>
              </w:rPr>
              <w:t xml:space="preserve">The results of changing the backtest window length (10, 15, 20, 30, 40 or 60 sessions) are uncertain: no clear pattern is observed of longer or shorter windows systematically improving the return function.</w:t>
            </w:r>
          </w:p>
        </w:tc>
      </w:tr>
      <w:tr>
        <w:tc>
          <w:tcPr>
            <w:tcW w:type="dxa" w:w="4675"/>
            <w:shd w:fill="EAF1FA" w:val="clear"/>
            <w:tcMar>
              <w:top w:type="dxa" w:w="100"/>
              <w:left w:type="dxa" w:w="120"/>
              <w:bottom w:type="dxa" w:w="100"/>
              <w:right w:type="dxa" w:w="120"/>
            </w:tcMar>
            <w:vAlign w:val="top"/>
          </w:tcPr>
          <w:p>
            <w:r>
              <w:rPr>
                <w:b/>
                <w:bCs/>
                <w:color w:val="2E74B5"/>
              </w:rPr>
              <w:t xml:space="preserve">20 de julio de 2026 — Validación cruzada de precios</w:t>
            </w:r>
          </w:p>
        </w:tc>
        <w:tc>
          <w:tcPr>
            <w:tcW w:type="dxa" w:w="4675"/>
            <w:shd w:fill="EAF1FA" w:val="clear"/>
            <w:tcMar>
              <w:top w:type="dxa" w:w="100"/>
              <w:left w:type="dxa" w:w="120"/>
              <w:bottom w:type="dxa" w:w="100"/>
              <w:right w:type="dxa" w:w="120"/>
            </w:tcMar>
            <w:vAlign w:val="top"/>
          </w:tcPr>
          <w:p>
            <w:r>
              <w:rPr>
                <w:b/>
                <w:bCs/>
                <w:color w:val="2E74B5"/>
              </w:rPr>
              <w:t xml:space="preserve">July 20, 2026 — Cross-checking prices</w:t>
            </w:r>
          </w:p>
        </w:tc>
      </w:tr>
      <w:tr>
        <w:tc>
          <w:tcPr>
            <w:tcW w:type="dxa" w:w="4675"/>
            <w:tcMar>
              <w:top w:type="dxa" w:w="100"/>
              <w:left w:type="dxa" w:w="120"/>
              <w:bottom w:type="dxa" w:w="100"/>
              <w:right w:type="dxa" w:w="120"/>
            </w:tcMar>
            <w:vAlign w:val="top"/>
          </w:tcPr>
          <w:p>
            <w:r>
              <w:rPr>
                <w:b w:val="false"/>
                <w:bCs w:val="false"/>
              </w:rPr>
              <w:t xml:space="preserve">Se comparó el precio mostrado por la aplicación (columna "Precio") para IBM, CAT, CVX y TRV con el precio de la misma acción según una fuente externa (buscador de Google) en un momento próximo. Los valores coincidieron con diferencias de solo centésimas de dólar (p. ej. IBM 214,61 frente a 214,64; CAT 862,4 frente a 862,75; CVX 189,88 frente a 189,90; TRV 365,89 frente a 365,77), explicables por el pequeño desfase de segundos entre capturas con el mercado abierto.</w:t>
            </w:r>
          </w:p>
        </w:tc>
        <w:tc>
          <w:tcPr>
            <w:tcW w:type="dxa" w:w="4675"/>
            <w:tcMar>
              <w:top w:type="dxa" w:w="100"/>
              <w:left w:type="dxa" w:w="120"/>
              <w:bottom w:type="dxa" w:w="100"/>
              <w:right w:type="dxa" w:w="120"/>
            </w:tcMar>
            <w:vAlign w:val="top"/>
          </w:tcPr>
          <w:p>
            <w:r>
              <w:rPr>
                <w:b w:val="false"/>
                <w:bCs w:val="false"/>
              </w:rPr>
              <w:t xml:space="preserve">The price shown by the application ("Price" column) for IBM, CAT, CVX and TRV was compared against the price of the same stock from an external source (Google search) at a nearby point in time. The values matched within a few cents (e.g. IBM 214.61 vs. 214.64; CAT 862.4 vs. 862.75; CVX 189.88 vs. 189.90; TRV 365.89 vs. 365.77), explainable by the small lag in seconds between captures while the market was open.</w:t>
            </w:r>
          </w:p>
        </w:tc>
      </w:tr>
      <w:tr>
        <w:tc>
          <w:tcPr>
            <w:tcW w:type="dxa" w:w="4675"/>
            <w:tcMar>
              <w:top w:type="dxa" w:w="100"/>
              <w:left w:type="dxa" w:w="120"/>
              <w:bottom w:type="dxa" w:w="100"/>
              <w:right w:type="dxa" w:w="120"/>
            </w:tcMar>
            <w:vAlign w:val="top"/>
          </w:tcPr>
          <w:p>
            <w:r>
              <w:rPr>
                <w:b w:val="false"/>
                <w:bCs w:val="false"/>
              </w:rPr>
              <w:t xml:space="preserve">Conclusión: esta comprobación cruzada confirma la consistencia de los datos de cotización que usa la aplicación (a través de yahoo-finance2) frente a otra fuente independiente en tiempo real.</w:t>
            </w:r>
          </w:p>
        </w:tc>
        <w:tc>
          <w:tcPr>
            <w:tcW w:type="dxa" w:w="4675"/>
            <w:tcMar>
              <w:top w:type="dxa" w:w="100"/>
              <w:left w:type="dxa" w:w="120"/>
              <w:bottom w:type="dxa" w:w="100"/>
              <w:right w:type="dxa" w:w="120"/>
            </w:tcMar>
            <w:vAlign w:val="top"/>
          </w:tcPr>
          <w:p>
            <w:r>
              <w:rPr>
                <w:b w:val="false"/>
                <w:bCs w:val="false"/>
              </w:rPr>
              <w:t xml:space="preserve">Conclusion: this cross-check confirms the consistency of the quote data used by the application (via yahoo-finance2) against an independent, real-time source.</w:t>
            </w:r>
          </w:p>
        </w:tc>
      </w:tr>
      <w:tr>
        <w:tc>
          <w:tcPr>
            <w:tcW w:type="dxa" w:w="4675"/>
            <w:shd w:fill="EAF1FA" w:val="clear"/>
            <w:tcMar>
              <w:top w:type="dxa" w:w="100"/>
              <w:left w:type="dxa" w:w="120"/>
              <w:bottom w:type="dxa" w:w="100"/>
              <w:right w:type="dxa" w:w="120"/>
            </w:tcMar>
            <w:vAlign w:val="top"/>
          </w:tcPr>
          <w:p>
            <w:r>
              <w:rPr>
                <w:b/>
                <w:bCs/>
                <w:color w:val="2E74B5"/>
              </w:rPr>
              <w:t xml:space="preserve">23 de julio de 2026 — ¿Aporta valor la selección por precio, volumen o flujo de dinero frente al azar?</w:t>
            </w:r>
          </w:p>
        </w:tc>
        <w:tc>
          <w:tcPr>
            <w:tcW w:type="dxa" w:w="4675"/>
            <w:shd w:fill="EAF1FA" w:val="clear"/>
            <w:tcMar>
              <w:top w:type="dxa" w:w="100"/>
              <w:left w:type="dxa" w:w="120"/>
              <w:bottom w:type="dxa" w:w="100"/>
              <w:right w:type="dxa" w:w="120"/>
            </w:tcMar>
            <w:vAlign w:val="top"/>
          </w:tcPr>
          <w:p>
            <w:r>
              <w:rPr>
                <w:b/>
                <w:bCs/>
                <w:color w:val="2E74B5"/>
              </w:rPr>
              <w:t xml:space="preserve">July 23, 2026 — Does selection by price, volume or money flow add value over random choice?</w:t>
            </w:r>
          </w:p>
        </w:tc>
      </w:tr>
      <w:tr>
        <w:tc>
          <w:tcPr>
            <w:tcW w:type="dxa" w:w="4675"/>
            <w:tcMar>
              <w:top w:type="dxa" w:w="100"/>
              <w:left w:type="dxa" w:w="120"/>
              <w:bottom w:type="dxa" w:w="100"/>
              <w:right w:type="dxa" w:w="120"/>
            </w:tcMar>
            <w:vAlign w:val="top"/>
          </w:tcPr>
          <w:p>
            <w:r>
              <w:rPr>
                <w:b w:val="false"/>
                <w:bCs w:val="false"/>
              </w:rPr>
              <w:t xml:space="preserve">Se ha comparado, de forma sistemática, tres criterios de selección de cartera —por precio, por volumen y por flujo de dinero (precio × volumen)— frente a una selección al azar, repitiendo la prueba con distintas duraciones de periodo (de 2 semanas a 3 meses aproximadamente) y varias muestras independientes en cada duración.</w:t>
            </w:r>
          </w:p>
        </w:tc>
        <w:tc>
          <w:tcPr>
            <w:tcW w:type="dxa" w:w="4675"/>
            <w:tcMar>
              <w:top w:type="dxa" w:w="100"/>
              <w:left w:type="dxa" w:w="120"/>
              <w:bottom w:type="dxa" w:w="100"/>
              <w:right w:type="dxa" w:w="120"/>
            </w:tcMar>
            <w:vAlign w:val="top"/>
          </w:tcPr>
          <w:p>
            <w:r>
              <w:rPr>
                <w:b w:val="false"/>
                <w:bCs w:val="false"/>
              </w:rPr>
              <w:t xml:space="preserve">Three portfolio-selection criteria — by price, by volume, and by money flow (price × volume) — were systematically compared against a random selection, repeating the test across different period lengths (roughly 2 weeks to 3 months) and several independent samples for each length.</w:t>
            </w:r>
          </w:p>
        </w:tc>
      </w:tr>
      <w:tr>
        <w:tc>
          <w:tcPr>
            <w:tcW w:type="dxa" w:w="4675"/>
            <w:tcMar>
              <w:top w:type="dxa" w:w="100"/>
              <w:left w:type="dxa" w:w="120"/>
              <w:bottom w:type="dxa" w:w="100"/>
              <w:right w:type="dxa" w:w="120"/>
            </w:tcMar>
            <w:vAlign w:val="top"/>
          </w:tcPr>
          <w:p>
            <w:r>
              <w:rPr>
                <w:b w:val="false"/>
                <w:bCs w:val="false"/>
              </w:rPr>
              <w:t xml:space="preserve">Resultado principal: ninguno de los tres criterios bate de forma clara y consistente a la selección al azar. En la mayoría de las pruebas, su rentabilidad se mueve dentro del mismo rango de variación que ya produce simplemente elegir acciones sin ningún criterio. El resultado se mantiene igual tanto si se optimizan al máximo los demás parámetros del modelo como si no.</w:t>
            </w:r>
          </w:p>
        </w:tc>
        <w:tc>
          <w:tcPr>
            <w:tcW w:type="dxa" w:w="4675"/>
            <w:tcMar>
              <w:top w:type="dxa" w:w="100"/>
              <w:left w:type="dxa" w:w="120"/>
              <w:bottom w:type="dxa" w:w="100"/>
              <w:right w:type="dxa" w:w="120"/>
            </w:tcMar>
            <w:vAlign w:val="top"/>
          </w:tcPr>
          <w:p>
            <w:r>
              <w:rPr>
                <w:b w:val="false"/>
                <w:bCs w:val="false"/>
              </w:rPr>
              <w:t xml:space="preserve">Main result: none of the three criteria consistently and clearly beats the random selection. In most tests, their return falls within the same range of variation already produced by simply picking stocks with no criterion at all. The result holds whether or not the model's other parameters are fully optimized.</w:t>
            </w:r>
          </w:p>
        </w:tc>
      </w:tr>
      <w:tr>
        <w:tc>
          <w:tcPr>
            <w:tcW w:type="dxa" w:w="4675"/>
            <w:tcMar>
              <w:top w:type="dxa" w:w="100"/>
              <w:left w:type="dxa" w:w="120"/>
              <w:bottom w:type="dxa" w:w="100"/>
              <w:right w:type="dxa" w:w="120"/>
            </w:tcMar>
            <w:vAlign w:val="top"/>
          </w:tcPr>
          <w:p>
            <w:r>
              <w:rPr>
                <w:b w:val="false"/>
                <w:bCs w:val="false"/>
              </w:rPr>
              <w:t xml:space="preserve">Qué significa esto: con los datos disponibles (30 valores del Dow Jones, periodos de pocas semanas o meses), estas señales tan simples no muestran evidencia sólida de aportar ventaja real de predicción frente a elegir al azar. Es un hallazgo negativo, pero honesto y con valor — muestra el rigor de contrastar contra un control aleatorio en vez de fiarse solo de si “parece que funciona”.</w:t>
            </w:r>
          </w:p>
        </w:tc>
        <w:tc>
          <w:tcPr>
            <w:tcW w:type="dxa" w:w="4675"/>
            <w:tcMar>
              <w:top w:type="dxa" w:w="100"/>
              <w:left w:type="dxa" w:w="120"/>
              <w:bottom w:type="dxa" w:w="100"/>
              <w:right w:type="dxa" w:w="120"/>
            </w:tcMar>
            <w:vAlign w:val="top"/>
          </w:tcPr>
          <w:p>
            <w:r>
              <w:rPr>
                <w:b w:val="false"/>
                <w:bCs w:val="false"/>
              </w:rPr>
              <w:t xml:space="preserve">What this means: with the data available (30 Dow Jones stocks, periods of a few weeks or months), these simple signals show no solid evidence of real predictive advantage over picking at random. It's a negative finding, but an honest and valuable one — it shows the rigor of testing against a random control instead of just trusting that something “looks like it's working”.</w:t>
            </w:r>
          </w:p>
        </w:tc>
      </w:tr>
      <w:tr>
        <w:tc>
          <w:tcPr>
            <w:tcW w:type="dxa" w:w="4675"/>
            <w:tcMar>
              <w:top w:type="dxa" w:w="100"/>
              <w:left w:type="dxa" w:w="120"/>
              <w:bottom w:type="dxa" w:w="100"/>
              <w:right w:type="dxa" w:w="120"/>
            </w:tcMar>
            <w:vAlign w:val="top"/>
          </w:tcPr>
          <w:p>
            <w:r>
              <w:rPr>
                <w:b w:val="false"/>
                <w:bCs w:val="false"/>
              </w:rPr>
              <w:t xml:space="preserve">Matiz importante: con tan pocos datos, los resultados varían bastante de una prueba a otra, así que esto no es una conclusión definitiva y cerrada para siempre — es la fotografía actual, hecha con un método honesto, que puede refinarse con más datos e indicadores en el futuro.</w:t>
            </w:r>
          </w:p>
        </w:tc>
        <w:tc>
          <w:tcPr>
            <w:tcW w:type="dxa" w:w="4675"/>
            <w:tcMar>
              <w:top w:type="dxa" w:w="100"/>
              <w:left w:type="dxa" w:w="120"/>
              <w:bottom w:type="dxa" w:w="100"/>
              <w:right w:type="dxa" w:w="120"/>
            </w:tcMar>
            <w:vAlign w:val="top"/>
          </w:tcPr>
          <w:p>
            <w:r>
              <w:rPr>
                <w:b w:val="false"/>
                <w:bCs w:val="false"/>
              </w:rPr>
              <w:t xml:space="preserve">Important caveat: with so little data, results vary quite a bit from one test to another, so this isn't a final, closed conclusion — it's the current snapshot, obtained with an honest method, which can be refined with more data and indicators going forward.</w:t>
            </w:r>
          </w:p>
        </w:tc>
      </w:tr>
      <w:tr>
        <w:tc>
          <w:tcPr>
            <w:tcW w:type="dxa" w:w="4675"/>
            <w:shd w:fill="EAF1FA" w:val="clear"/>
            <w:tcMar>
              <w:top w:type="dxa" w:w="100"/>
              <w:left w:type="dxa" w:w="120"/>
              <w:bottom w:type="dxa" w:w="100"/>
              <w:right w:type="dxa" w:w="120"/>
            </w:tcMar>
            <w:vAlign w:val="top"/>
          </w:tcPr>
          <w:p>
            <w:r>
              <w:rPr>
                <w:b/>
                <w:bCs/>
                <w:color w:val="2E74B5"/>
              </w:rPr>
              <w:t xml:space="preserve">Última semana de julio de 2026 — Selección por criterios fundamentales</w:t>
            </w:r>
          </w:p>
        </w:tc>
        <w:tc>
          <w:tcPr>
            <w:tcW w:type="dxa" w:w="4675"/>
            <w:shd w:fill="EAF1FA" w:val="clear"/>
            <w:tcMar>
              <w:top w:type="dxa" w:w="100"/>
              <w:left w:type="dxa" w:w="120"/>
              <w:bottom w:type="dxa" w:w="100"/>
              <w:right w:type="dxa" w:w="120"/>
            </w:tcMar>
            <w:vAlign w:val="top"/>
          </w:tcPr>
          <w:p>
            <w:r>
              <w:rPr>
                <w:b/>
                <w:bCs/>
                <w:color w:val="2E74B5"/>
              </w:rPr>
              <w:t xml:space="preserve">Last week of July 2026 — Selection by fundamental criteria</w:t>
            </w:r>
          </w:p>
        </w:tc>
      </w:tr>
      <w:tr>
        <w:tc>
          <w:tcPr>
            <w:tcW w:type="dxa" w:w="4675"/>
            <w:tcMar>
              <w:top w:type="dxa" w:w="100"/>
              <w:left w:type="dxa" w:w="120"/>
              <w:bottom w:type="dxa" w:w="100"/>
              <w:right w:type="dxa" w:w="120"/>
            </w:tcMar>
            <w:vAlign w:val="top"/>
          </w:tcPr>
          <w:p>
            <w:r>
              <w:rPr>
                <w:b w:val="false"/>
                <w:bCs w:val="false"/>
              </w:rPr>
              <w:t xml:space="preserve">Se ha probado la selección por criterios fundamentales que, si bien no podemos conocer los del pasado, podemos suponer que varían poco y que se mantienen durante el período considerado hasta hoy. Se ha generalizado a varios índices bursátiles.</w:t>
            </w:r>
          </w:p>
        </w:tc>
        <w:tc>
          <w:tcPr>
            <w:tcW w:type="dxa" w:w="4675"/>
            <w:tcMar>
              <w:top w:type="dxa" w:w="100"/>
              <w:left w:type="dxa" w:w="120"/>
              <w:bottom w:type="dxa" w:w="100"/>
              <w:right w:type="dxa" w:w="120"/>
            </w:tcMar>
            <w:vAlign w:val="top"/>
          </w:tcPr>
          <w:p>
            <w:r>
              <w:rPr>
                <w:b w:val="false"/>
                <w:bCs w:val="false"/>
              </w:rPr>
              <w:t xml:space="preserve">Selection by fundamental criteria has been tested — although we cannot know their past values, we can assume they change little and remain roughly stable over the period considered up to today. It has been generalized to several stock market indices.</w:t>
            </w:r>
          </w:p>
        </w:tc>
      </w:tr>
      <w:tr>
        <w:tc>
          <w:tcPr>
            <w:tcW w:type="dxa" w:w="4675"/>
            <w:shd w:fill="EAF1FA" w:val="clear"/>
            <w:tcMar>
              <w:top w:type="dxa" w:w="100"/>
              <w:left w:type="dxa" w:w="120"/>
              <w:bottom w:type="dxa" w:w="100"/>
              <w:right w:type="dxa" w:w="120"/>
            </w:tcMar>
            <w:vAlign w:val="top"/>
          </w:tcPr>
          <w:p>
            <w:r>
              <w:rPr>
                <w:b/>
                <w:bCs/>
                <w:color w:val="2E74B5"/>
              </w:rPr>
              <w:t xml:space="preserve">Primera semana de agosto de 2026 — Modelo multifactor y modelo de réplica</w:t>
            </w:r>
          </w:p>
        </w:tc>
        <w:tc>
          <w:tcPr>
            <w:tcW w:type="dxa" w:w="4675"/>
            <w:shd w:fill="EAF1FA" w:val="clear"/>
            <w:tcMar>
              <w:top w:type="dxa" w:w="100"/>
              <w:left w:type="dxa" w:w="120"/>
              <w:bottom w:type="dxa" w:w="100"/>
              <w:right w:type="dxa" w:w="120"/>
            </w:tcMar>
            <w:vAlign w:val="top"/>
          </w:tcPr>
          <w:p>
            <w:r>
              <w:rPr>
                <w:b/>
                <w:bCs/>
                <w:color w:val="2E74B5"/>
              </w:rPr>
              <w:t xml:space="preserve">First week of August 2026 — Multi-factor model and replica model</w:t>
            </w:r>
          </w:p>
        </w:tc>
      </w:tr>
      <w:tr>
        <w:tc>
          <w:tcPr>
            <w:tcW w:type="dxa" w:w="4675"/>
            <w:tcMar>
              <w:top w:type="dxa" w:w="100"/>
              <w:left w:type="dxa" w:w="120"/>
              <w:bottom w:type="dxa" w:w="100"/>
              <w:right w:type="dxa" w:w="120"/>
            </w:tcMar>
            <w:vAlign w:val="top"/>
          </w:tcPr>
          <w:p>
            <w:r>
              <w:rPr>
                <w:b w:val="false"/>
                <w:bCs w:val="false"/>
              </w:rPr>
              <w:t xml:space="preserve">Se ha realizado una regresión lineal multifactor. En ningún caso nos separamos claramente de la selección aleatoria. El principio de eficiencia fuerte o débil parece imponerse en los mercados financieros.</w:t>
            </w:r>
          </w:p>
        </w:tc>
        <w:tc>
          <w:tcPr>
            <w:tcW w:type="dxa" w:w="4675"/>
            <w:tcMar>
              <w:top w:type="dxa" w:w="100"/>
              <w:left w:type="dxa" w:w="120"/>
              <w:bottom w:type="dxa" w:w="100"/>
              <w:right w:type="dxa" w:w="120"/>
            </w:tcMar>
            <w:vAlign w:val="top"/>
          </w:tcPr>
          <w:p>
            <w:r>
              <w:rPr>
                <w:b w:val="false"/>
                <w:bCs w:val="false"/>
              </w:rPr>
              <w:t xml:space="preserve">A multi-factor linear regression has been carried out. In no case did the result clearly separate from a random selection. The strong or weak form of the market efficiency principle appears to hold in financial markets.</w:t>
            </w:r>
          </w:p>
        </w:tc>
      </w:tr>
      <w:tr>
        <w:tc>
          <w:tcPr>
            <w:tcW w:type="dxa" w:w="4675"/>
            <w:tcMar>
              <w:top w:type="dxa" w:w="100"/>
              <w:left w:type="dxa" w:w="120"/>
              <w:bottom w:type="dxa" w:w="100"/>
              <w:right w:type="dxa" w:w="120"/>
            </w:tcMar>
            <w:vAlign w:val="top"/>
          </w:tcPr>
          <w:p>
            <w:r>
              <w:rPr>
                <w:b w:val="false"/>
                <w:bCs w:val="false"/>
              </w:rPr>
              <w:t xml:space="preserve">Se ha implementado un modelo réplica del índice con el que trabajamos.</w:t>
            </w:r>
          </w:p>
        </w:tc>
        <w:tc>
          <w:tcPr>
            <w:tcW w:type="dxa" w:w="4675"/>
            <w:tcMar>
              <w:top w:type="dxa" w:w="100"/>
              <w:left w:type="dxa" w:w="120"/>
              <w:bottom w:type="dxa" w:w="100"/>
              <w:right w:type="dxa" w:w="120"/>
            </w:tcMar>
            <w:vAlign w:val="top"/>
          </w:tcPr>
          <w:p>
            <w:r>
              <w:rPr>
                <w:b w:val="false"/>
                <w:bCs w:val="false"/>
              </w:rPr>
              <w:t xml:space="preserve">A model replicating the index being worked with has been implemented.</w:t>
            </w:r>
          </w:p>
        </w:tc>
      </w:tr>
      <w:tr>
        <w:tc>
          <w:tcPr>
            <w:tcW w:type="dxa" w:w="4675"/>
            <w:tcMar>
              <w:top w:type="dxa" w:w="100"/>
              <w:left w:type="dxa" w:w="120"/>
              <w:bottom w:type="dxa" w:w="100"/>
              <w:right w:type="dxa" w:w="120"/>
            </w:tcMar>
            <w:vAlign w:val="top"/>
          </w:tcPr>
          <w:p>
            <w:r>
              <w:rPr>
                <w:b w:val="false"/>
                <w:bCs w:val="false"/>
              </w:rPr>
              <w:t xml:space="preserve">Se ha mejorado la interfaz de usuario.</w:t>
            </w:r>
          </w:p>
        </w:tc>
        <w:tc>
          <w:tcPr>
            <w:tcW w:type="dxa" w:w="4675"/>
            <w:tcMar>
              <w:top w:type="dxa" w:w="100"/>
              <w:left w:type="dxa" w:w="120"/>
              <w:bottom w:type="dxa" w:w="100"/>
              <w:right w:type="dxa" w:w="120"/>
            </w:tcMar>
            <w:vAlign w:val="top"/>
          </w:tcPr>
          <w:p>
            <w:r>
              <w:rPr>
                <w:b w:val="false"/>
                <w:bCs w:val="false"/>
              </w:rPr>
              <w:t xml:space="preserve">The user interface has been improved.</w:t>
            </w:r>
          </w:p>
        </w:tc>
      </w:tr>
      <w:tr>
        <w:tc>
          <w:tcPr>
            <w:tcW w:type="dxa" w:w="4675"/>
            <w:tcMar>
              <w:top w:type="dxa" w:w="100"/>
              <w:left w:type="dxa" w:w="120"/>
              <w:bottom w:type="dxa" w:w="100"/>
              <w:right w:type="dxa" w:w="120"/>
            </w:tcMar>
            <w:vAlign w:val="top"/>
          </w:tcPr>
          <w:p>
            <w:r>
              <w:rPr>
                <w:b w:val="false"/>
                <w:bCs w:val="false"/>
              </w:rPr>
              <w:t xml:space="preserve">Se están completando las especificaciones y observaciones.</w:t>
            </w:r>
          </w:p>
        </w:tc>
        <w:tc>
          <w:tcPr>
            <w:tcW w:type="dxa" w:w="4675"/>
            <w:tcMar>
              <w:top w:type="dxa" w:w="100"/>
              <w:left w:type="dxa" w:w="120"/>
              <w:bottom w:type="dxa" w:w="100"/>
              <w:right w:type="dxa" w:w="120"/>
            </w:tcMar>
            <w:vAlign w:val="top"/>
          </w:tcPr>
          <w:p>
            <w:r>
              <w:rPr>
                <w:b w:val="false"/>
                <w:bCs w:val="false"/>
              </w:rPr>
              <w:t xml:space="preserve">The specifications and observations documents are being completed.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2026-07-20T19:56:16.641Z</dcterms:created>
  <dcterms:modified xsi:type="dcterms:W3CDTF">2026-07-20T19:56:16.674Z</dcterms:modified>
</cp:coreProperties>
</file>

<file path=docProps/custom.xml><?xml version="1.0" encoding="utf-8"?>
<Properties xmlns="http://schemas.openxmlformats.org/officeDocument/2006/custom-properties" xmlns:vt="http://schemas.openxmlformats.org/officeDocument/2006/docPropsVTypes"/>
</file>