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Especificaciones — Fondo IA</w:t>
      </w:r>
    </w:p>
    <w:p>
      <w:pPr>
        <w:spacing w:after="120" w:before="240"/>
      </w:pPr>
      <w:r>
        <w:rPr>
          <w:b/>
          <w:bCs/>
          <w:color w:val="1F3864"/>
          <w:sz w:val="28"/>
          <w:szCs w:val="28"/>
        </w:rPr>
        <w:t xml:space="preserve">1. Objetivo del proyecto</w:t>
      </w:r>
    </w:p>
    <w:p>
      <w:pPr>
        <w:spacing w:after="120"/>
      </w:pPr>
      <w:r>
        <w:t xml:space="preserve">Construir una herramienta que compone automáticamente una cartera de inversión a partir de las cotizaciones — y, en algunas de sus variantes, también de datos fundamentales y del consenso de analistas — de los componentes de distintos índices bursátiles, mediante un conjunto de reglas explícitas de puntuación, selección y rebalanceo. No es un solver de optimización matemática, como la programación lineal, ni un modelo de aprendizaje automático opaco: es un sistema de reglas auditables (ver sección 3).</w:t>
      </w:r>
    </w:p>
    <w:p>
      <w:pPr>
        <w:spacing w:after="120"/>
      </w:pPr>
      <w:r>
        <w:t xml:space="preserve">El objetivo de cada regla es maximizar el rendimiento de la cartera resultante, entendido como la suma ponderada de los incrementos de cotización de los componentes seleccionados, dentro de las reglas de diversificación y rebalanceo vigentes.</w:t>
      </w:r>
    </w:p>
    <w:p>
      <w:pPr>
        <w:spacing w:after="120"/>
      </w:pPr>
      <w:r>
        <w:t xml:space="preserve">Importante: el método de selección por defecto — y el más desarrollado, el que da nombre al proyecto — se basa exclusivamente en la cotización y el volumen de negociación de los valores, análisis técnico. La aplicación incluye también, como variantes claramente diferenciadas, una selección por datos fundamentales, otra por consenso de analistas, y un modelo multifactor que combina ambas familias de datos con el análisis técnico (ver sección 19). En ningún caso se trata de una recomendación de inversión fundamentada: son modelos simplificados para estudiar cómo se comporta cada forma de selección mantenida en el tiempo.</w:t>
      </w:r>
    </w:p>
    <w:p>
      <w:pPr>
        <w:spacing w:after="120" w:before="240"/>
      </w:pPr>
      <w:r>
        <w:rPr>
          <w:b/>
          <w:bCs/>
          <w:color w:val="1F3864"/>
          <w:sz w:val="28"/>
          <w:szCs w:val="28"/>
        </w:rPr>
        <w:t xml:space="preserve">2. Tecnología y arquitectura</w:t>
      </w:r>
    </w:p>
    <w:p>
      <w:pPr>
        <w:spacing w:after="120"/>
      </w:pPr>
      <w:r>
        <w:t xml:space="preserve">• Lenguaje: JavaScript (Node.js), sobre un proyecto Next.js.</w:t>
      </w:r>
    </w:p>
    <w:p>
      <w:pPr>
        <w:spacing w:after="120"/>
      </w:pPr>
      <w:r>
        <w:t xml:space="preserve">• Librería de datos de mercado: yahoo-finance2 — cotización, volumen, datos fundamentales y consenso de analistas —, envuelta en lib/motor.js con tolerancia a errores de validación de esquema y a caídas temporales de los servidores de Yahoo Finance.</w:t>
      </w:r>
    </w:p>
    <w:p>
      <w:pPr>
        <w:spacing w:after="120"/>
      </w:pPr>
      <w:r>
        <w:t xml:space="preserve">• Despliegue: el código se sube al repositorio de GitHub y se conecta a Vercel, que publica automáticamente una aplicación web pública. La consulta a Yahoo Finance se ejecuta en funciones de servidor, las API routes de Next.js, alojadas en Vercel; la página web las llama y muestra los resultados.</w:t>
      </w:r>
    </w:p>
    <w:p>
      <w:pPr>
        <w:spacing w:after="120"/>
      </w:pPr>
      <w:r>
        <w:t xml:space="preserve">• Arquitectura multi-índice: el catálogo de índices soportados (lib/indices.js) es una lista de datos declarativa — tickers, nombres, símbolo del índice, ETFs de referencia... —; añadir un índice nuevo consiste en añadir una entrada al catálogo, sin tocar el resto de la aplicación (ver sección 4).</w:t>
      </w:r>
    </w:p>
    <w:p>
      <w:pPr>
        <w:spacing w:after="120"/>
      </w:pPr>
      <w:r>
        <w:t xml:space="preserve">• Interfaz: un marco exterior persistente, visible en cualquier pantalla, con el selector de índice, el de sesiones promediadas para la puntuación y el de idioma; un menú de hamburguesa con las cinco páginas de trabajo — Comprobaciones, Parámetros técnicos, Selección técnica, Selección alternativa, Análisis —; y un panel de información (icono "i") con las especificaciones, este documento, la historia y las observaciones del proyecto, cada una convertida de .docx a HTML al vuelo (librería mammoth) y mostrada sin salir de la aplicación.</w:t>
      </w:r>
    </w:p>
    <w:p>
      <w:pPr>
        <w:spacing w:after="120"/>
      </w:pPr>
      <w:r>
        <w:t xml:space="preserve">• Exportación de resultados: cualquier tabla de resultados de la aplicación se puede descargar como PDF o compartir directamente desde el dispositivo (ver sección 24).</w:t>
      </w:r>
    </w:p>
    <w:p>
      <w:pPr>
        <w:spacing w:after="120" w:before="240"/>
      </w:pPr>
      <w:r>
        <w:rPr>
          <w:b/>
          <w:bCs/>
          <w:color w:val="1F3864"/>
          <w:sz w:val="28"/>
          <w:szCs w:val="28"/>
        </w:rPr>
        <w:t xml:space="preserve">3. Alcance y principios metodológicos</w:t>
      </w:r>
    </w:p>
    <w:p>
      <w:pPr>
        <w:spacing w:after="120"/>
      </w:pPr>
      <w:r>
        <w:t xml:space="preserve">• El método de selección técnica — el más desarrollado, y el que da nombre al proyecto — se basa exclusivamente en cotización y volumen de negociación de cada componente: análisis técnico, sin datos fundamentales de las empresas.</w:t>
      </w:r>
    </w:p>
    <w:p>
      <w:pPr>
        <w:spacing w:after="120"/>
      </w:pPr>
      <w:r>
        <w:t xml:space="preserve">• Principio seguido en las páginas de backtest día a día (Selección técnica, sección 15-16, y Análisis, sección 20-21): evitar el sesgo de anticipación, look-ahead bias. Cualquier decisión se toma solo con información disponible el día anterior; el indicador de rendimiento real es el "beneficio sin cambio" de la cartera anterior, no el de la recién seleccionada (ver sección 12).</w:t>
      </w:r>
    </w:p>
    <w:p>
      <w:pPr>
        <w:spacing w:after="120"/>
      </w:pPr>
      <w:r>
        <w:t xml:space="preserve">• Excepciones deliberadas, explícitamente señaladas donde aparecen: la selección por fundamental y por analistas, y el modelo multifactor (sección 19) usan el dato de HOY aplicado a todo el periodo de backtest, porque Yahoo Finance no ofrece histórico diario de esos datos; el modo "cartera real" de la selección por "veces seleccionado" (sección 18) acepta el sesgo de anticipación a propósito, porque su objetivo es componer la cartera de hoy, no medir una estrategia contra el pasado.</w:t>
      </w:r>
    </w:p>
    <w:p>
      <w:pPr>
        <w:spacing w:after="120"/>
      </w:pPr>
      <w:r>
        <w:t xml:space="preserve">• El modelo técnico es deliberadamente auditable: cada regla es explícita y trazable. Un modelo de selección propio tipo red neuronal o perceptrón queda descartado como método de la aplicación, por el riesgo de sobreajuste y la pérdida de auditabilidad — aunque sí se exploró más tarde, aparte, como experimento controlado (ver sección 31). El modelo multifactor (sección 19) sí incorpora una regresión ridge — una técnica estadística lineal, simple y transparente, con pesos ajustados que se pueden leer e interpretar directamente —, muy distinta en opacidad y en riesgo de sobreajuste de una red neuronal: no contradice el principio de auditabilidad, lo amplía con un método intermedio.</w:t>
      </w:r>
    </w:p>
    <w:p>
      <w:pPr>
        <w:spacing w:after="120" w:before="240"/>
      </w:pPr>
      <w:r>
        <w:rPr>
          <w:b/>
          <w:bCs/>
          <w:color w:val="1F3864"/>
          <w:sz w:val="28"/>
          <w:szCs w:val="28"/>
        </w:rPr>
        <w:t xml:space="preserve">4. Universo de inversión: catálogo de índices</w:t>
      </w:r>
    </w:p>
    <w:p>
      <w:pPr>
        <w:spacing w:after="120"/>
      </w:pPr>
      <w:r>
        <w:t xml:space="preserve">• La aplicación no está limitada a un único índice: el selector de índice, visible en el marco exterior de cualquier pantalla, permite elegir entre 16 índices o catálogos de valores definidos en lib/indices.js; el resto de la aplicación (backend y frontend) es genérico para cualquiera de ellos.</w:t>
      </w:r>
    </w:p>
    <w:p>
      <w:pPr>
        <w:spacing w:after="120"/>
      </w:pPr>
      <w:r>
        <w:t xml:space="preserve">• América: Dow Jones Industrial Average (EE. UU., 30 valores) y Nasdaq 100 (EE. UU., cerca de 100 valores).</w:t>
      </w:r>
    </w:p>
    <w:p>
      <w:pPr>
        <w:spacing w:after="120"/>
      </w:pPr>
      <w:r>
        <w:t xml:space="preserve">• Europa: IBEX 35 (España), CAC 40 (Francia), PSI 20 (Portugal), DAX (Alemania), AEX (Países Bajos), FTSE MIB (Italia) y Grecia ADR.</w:t>
      </w:r>
    </w:p>
    <w:p>
      <w:pPr>
        <w:spacing w:after="120"/>
      </w:pPr>
      <w:r>
        <w:t xml:space="preserve">• Latinoamérica y resto de América fuera de EE. UU.: S&amp;P Argentina ADR, S&amp;P Brasil ADR, S&amp;P México ADR y S&amp;P Latinoamérica ADR — agrupa Chile, Colombia y Perú, que no tienen índice de ADR propio.</w:t>
      </w:r>
    </w:p>
    <w:p>
      <w:pPr>
        <w:spacing w:after="120"/>
      </w:pPr>
      <w:r>
        <w:t xml:space="preserve">• Asia y Oceanía: S&amp;P India ADR, S&amp;P Asia ADR — por ahora, solo componentes taiwaneses —, S&amp;P China ADR, S&amp;P Corea ADR y S&amp;P Australia ADR.</w:t>
      </w:r>
    </w:p>
    <w:p>
      <w:pPr>
        <w:spacing w:after="120"/>
      </w:pPr>
      <w:r>
        <w:t xml:space="preserve">• Los índices "ADR" son deliberadamente parciales: solo siguen los valores de ese país accesibles a un inversor de EE. UU./Europa vía ADR, sigla de American Depositary Receipt, cotizado en dólares en NYSE o Nasdaq, no el índice bursátil local completo, que cotiza en su propia moneda y tiene muchos más componentes. Mientras alguno de estos índices está seleccionado, la aplicación muestra un aviso explícito en el marco exterior.</w:t>
      </w:r>
    </w:p>
    <w:p>
      <w:pPr>
        <w:spacing w:after="120"/>
      </w:pPr>
      <w:r>
        <w:t xml:space="preserve">• Caso especial, el DAX: a diferencia del resto, índices "de precio", el DAX se calcula oficialmente como índice de rentabilidad total: los dividendos de sus componentes se reinvierten dentro del propio cálculo del índice. Por eso "Rentabilidad de los ETFs" (sección 22) usa para el DAX un ETF de acumulación como referencia, en vez de uno de distribución como para todos los demás índices del catálogo.</w:t>
      </w:r>
    </w:p>
    <w:p>
      <w:pPr>
        <w:spacing w:after="120"/>
      </w:pPr>
      <w:r>
        <w:t xml:space="preserve">• Cada índice define también, cuando existe, un ETF UCITS de referencia (para "Comprobación de componentes vía ETF", sección 23) y uno o varios ETFs UCITS "de rentabilidad" y "opuestos" (sección 22); los índices ADR parciales no tienen ETF de referencia por no existir, hoy, ningún producto comparable.</w:t>
      </w:r>
    </w:p>
    <w:p>
      <w:pPr>
        <w:spacing w:after="120" w:before="240"/>
      </w:pPr>
      <w:r>
        <w:rPr>
          <w:b/>
          <w:bCs/>
          <w:color w:val="1F3864"/>
          <w:sz w:val="28"/>
          <w:szCs w:val="28"/>
        </w:rPr>
        <w:t xml:space="preserve">5. Criterio de puntuación técnico y sus antítesis</w:t>
      </w:r>
    </w:p>
    <w:p>
      <w:pPr>
        <w:spacing w:after="120"/>
      </w:pPr>
      <w:r>
        <w:t xml:space="preserve">• Puntuación de un valor en un día = suma de los incrementos de las últimas N sesiones, sobre el criterio elegido. N, las "sesiones promediadas", es configurable en el marco exterior — 3, 5, 8 o 13 sesiones, 3 por defecto — y afecta por igual a Selección técnica, a "Puntuaciones de una sesión concreta" (Comprobaciones, sección 23) y a Análisis (sección 20).</w:t>
      </w:r>
    </w:p>
    <w:p>
      <w:pPr>
        <w:spacing w:after="120"/>
      </w:pPr>
      <w:r>
        <w:t xml:space="preserve">• Seis criterios técnicos, todos en la página "Selección técnica" (secciones 15-16): precio, variación de cotización; volumen, variación del volumen negociado; flujo de dinero, variación del producto precio×volumen — pondera el volumen por la dirección del movimiento de precio, a diferencia del volumen puro —; y sus tres antítesis — precio bajo, volumen bajo y flujo de dinero bajo —, que aplican el mismo cálculo de puntuación pero seleccionan los valores con MENOR puntuación en vez de mayor.</w:t>
      </w:r>
    </w:p>
    <w:p>
      <w:pPr>
        <w:spacing w:after="120"/>
      </w:pPr>
      <w:r>
        <w:t xml:space="preserve">• Un séptimo criterio, aleatorio (puntuación pseudoaleatoria determinista con semilla fija), vive en la página "Selección alternativa" (sección 19) junto con fundamental, analistas y multifactor, y sirve de referencia/control frente a todos los criterios anteriores.</w:t>
      </w:r>
    </w:p>
    <w:p>
      <w:pPr>
        <w:spacing w:after="120"/>
      </w:pPr>
      <w:r>
        <w:t xml:space="preserve">• El criterio elegido solo decide QUÉ valores entran y permanecen; el peso y el beneficio de la cartera se calculan siempre con el precio, sea cual sea el criterio.</w:t>
      </w:r>
    </w:p>
    <w:p>
      <w:pPr>
        <w:spacing w:after="120" w:before="240"/>
      </w:pPr>
      <w:r>
        <w:rPr>
          <w:b/>
          <w:bCs/>
          <w:color w:val="1F3864"/>
          <w:sz w:val="28"/>
          <w:szCs w:val="28"/>
        </w:rPr>
        <w:t xml:space="preserve">6. Selección inicial y pesos</w:t>
      </w:r>
    </w:p>
    <w:p>
      <w:pPr>
        <w:spacing w:after="120"/>
      </w:pPr>
      <w:r>
        <w:t xml:space="preserve">• Se seleccionan los N valores (3 a 6, 5 por defecto) con mayor puntuación ese día.</w:t>
      </w:r>
    </w:p>
    <w:p>
      <w:pPr>
        <w:spacing w:after="120"/>
      </w:pPr>
      <w:r>
        <w:t xml:space="preserve">• Peso inicial: 100% dividido entre N, a partes iguales.</w:t>
      </w:r>
    </w:p>
    <w:p>
      <w:pPr>
        <w:spacing w:after="120"/>
      </w:pPr>
      <w:r>
        <w:t xml:space="preserve">• Tope máximo de peso por componente (40% por defecto, configurable y optimizable) para asegurar una diversificación mínima.</w:t>
      </w:r>
    </w:p>
    <w:p>
      <w:pPr>
        <w:spacing w:after="120" w:before="240"/>
      </w:pPr>
      <w:r>
        <w:rPr>
          <w:b/>
          <w:bCs/>
          <w:color w:val="1F3864"/>
          <w:sz w:val="28"/>
          <w:szCs w:val="28"/>
        </w:rPr>
        <w:t xml:space="preserve">7. Reglas de rebalanceo</w:t>
      </w:r>
    </w:p>
    <w:p>
      <w:pPr>
        <w:spacing w:after="120"/>
      </w:pPr>
      <w:r>
        <w:t xml:space="preserve">• Cada vez que toca rebalancear (ver sección 9) se recalcula el ranking y se compara con la cartera actual: los que ya estaban y siguen en el top-N permanecen; los que salen del top-N liberan su peso (salvo protección); los huecos se cubren con los siguientes del ranking.</w:t>
      </w:r>
    </w:p>
    <w:p>
      <w:pPr>
        <w:spacing w:after="120"/>
      </w:pPr>
      <w:r>
        <w:t xml:space="preserve">• Protección: un componente con más del 20% de peso no sale de la cartera aunque caiga del top-N, pero se le aplica una penalización (su incremento negativo de la sesión × factor de penalización, 2 por defecto y optimizable) que reduce su peso.</w:t>
      </w:r>
    </w:p>
    <w:p>
      <w:pPr>
        <w:spacing w:after="120" w:before="240"/>
      </w:pPr>
      <w:r>
        <w:rPr>
          <w:b/>
          <w:bCs/>
          <w:color w:val="1F3864"/>
          <w:sz w:val="28"/>
          <w:szCs w:val="28"/>
        </w:rPr>
        <w:t xml:space="preserve">8. Reparto del peso liberado</w:t>
      </w:r>
    </w:p>
    <w:p>
      <w:pPr>
        <w:spacing w:after="120"/>
      </w:pPr>
      <w:r>
        <w:t xml:space="preserve">• El peso liberado (por salidas + penalización de protegidos) se reparte a partes iguales, en un único paso, entre TODOS los componentes no protegidos de la nueva cartera (los que permanecen + los que entran).</w:t>
      </w:r>
    </w:p>
    <w:p>
      <w:pPr>
        <w:spacing w:after="120"/>
      </w:pPr>
      <w:r>
        <w:t xml:space="preserve">• Es el único método vigente. Se probó comparar con un reparto "proporcional" a la puntuación y con un reparto "libre" — con sesgo de anticipación, ya descartado —, y se abandonó la comparación: en las pruebas no aportaba mejora relevante frente al reparto fijo, que además es mucho más fácil de auditar.</w:t>
      </w:r>
    </w:p>
    <w:p>
      <w:pPr>
        <w:spacing w:after="120" w:before="240"/>
      </w:pPr>
      <w:r>
        <w:rPr>
          <w:b/>
          <w:bCs/>
          <w:color w:val="1F3864"/>
          <w:sz w:val="28"/>
          <w:szCs w:val="28"/>
        </w:rPr>
        <w:t xml:space="preserve">9. Frecuencia de rebalanceo</w:t>
      </w:r>
    </w:p>
    <w:p>
      <w:pPr>
        <w:spacing w:after="120"/>
      </w:pPr>
      <w:r>
        <w:t xml:space="preserve">• Por defecto, "diario": se rebalancea todos los días, con el coste de fricción, comisiones de compra/venta, que eso implica en la práctica.</w:t>
      </w:r>
    </w:p>
    <w:p>
      <w:pPr>
        <w:spacing w:after="120"/>
      </w:pPr>
      <w:r>
        <w:t xml:space="preserve">• Alternativa configurable y optimizable: rebalancear solo cuando, de los componentes actuales, sobreviven K o menos en el nuevo top-N (K entre 0 y N−1). Mientras sobrevivan más, la cartera se mantiene fija y los pesos derivan solos con la cotización (sin operar, sin coste). Un protegido que ha caído del top-N no cuenta como superviviente a este efecto.</w:t>
      </w:r>
    </w:p>
    <w:p>
      <w:pPr>
        <w:spacing w:after="120"/>
      </w:pPr>
      <w:r>
        <w:t xml:space="preserve">• Valor especial "nunca", de uso interno: la cartera se mantiene fija indefinidamente. Lo usa la selección por "veces seleccionado" (sección 18) para simular el resultado de mantener una cartera elegida de antemano, sin tocarla.</w:t>
      </w:r>
    </w:p>
    <w:p>
      <w:pPr>
        <w:spacing w:after="120" w:before="240"/>
      </w:pPr>
      <w:r>
        <w:rPr>
          <w:b/>
          <w:bCs/>
          <w:color w:val="1F3864"/>
          <w:sz w:val="28"/>
          <w:szCs w:val="28"/>
        </w:rPr>
        <w:t xml:space="preserve">10. Contador "veces seleccionado"</w:t>
      </w:r>
    </w:p>
    <w:p>
      <w:pPr>
        <w:spacing w:after="120"/>
      </w:pPr>
      <w:r>
        <w:t xml:space="preserve">• Contador acumulado, no racha, de los días que cada valor ha estado en cartera, entrando o permaneciendo; no se reinicia si el valor sale y vuelve a entrar más tarde.</w:t>
      </w:r>
    </w:p>
    <w:p>
      <w:pPr>
        <w:spacing w:after="120"/>
      </w:pPr>
      <w:r>
        <w:t xml:space="preserve">• Se muestra como columna en las tablas de composición de cartera de cualquier criterio, y es la base de la selección por "veces seleccionado" (sección 18).</w:t>
      </w:r>
    </w:p>
    <w:p>
      <w:pPr>
        <w:spacing w:after="120" w:before="240"/>
      </w:pPr>
      <w:r>
        <w:rPr>
          <w:b/>
          <w:bCs/>
          <w:color w:val="1F3864"/>
          <w:sz w:val="28"/>
          <w:szCs w:val="28"/>
        </w:rPr>
        <w:t xml:space="preserve">11. Datos</w:t>
      </w:r>
    </w:p>
    <w:p>
      <w:pPr>
        <w:spacing w:after="120"/>
      </w:pPr>
      <w:r>
        <w:t xml:space="preserve">• Fuente: Yahoo Finance (librería yahoo-finance2) — cotización de cierre diaria y volumen de negociación de cada sesión, usados por todos los criterios técnicos (secciones 5, 15-16, 20).</w:t>
      </w:r>
    </w:p>
    <w:p>
      <w:pPr>
        <w:spacing w:after="120"/>
      </w:pPr>
      <w:r>
        <w:t xml:space="preserve">• Ventana de descarga configurable: 20, 30, 50, 80 o 120 sesiones (20 por defecto) — ver sección 14. Sustituye a la ventana 10/15/20/30/40/60 de versiones anteriores de este documento, ya no vigente en el código.</w:t>
      </w:r>
    </w:p>
    <w:p>
      <w:pPr>
        <w:spacing w:after="120"/>
      </w:pPr>
      <w:r>
        <w:t xml:space="preserve">• Para las selecciones alternativas y las comprobaciones de auditoría (secciones 19, 21, 23): datos fundamentales de hoy — PER, PER futuro, EPS, EPS futuro, precio/valor contable, rentabilidad por dividendo, precio actual, máximo y mínimo de 52 semanas — y consenso de analistas de hoy — de 1, compra fuerte, a 5, venta fuerte, y número de analistas que cubren el valor —. Ninguno de los dos tiene histórico diario en Yahoo Finance, así que se usan siempre como una foto del dato de hoy.</w:t>
      </w:r>
    </w:p>
    <w:p>
      <w:pPr>
        <w:spacing w:after="120" w:before="240"/>
      </w:pPr>
      <w:r>
        <w:rPr>
          <w:b/>
          <w:bCs/>
          <w:color w:val="1F3864"/>
          <w:sz w:val="28"/>
          <w:szCs w:val="28"/>
        </w:rPr>
        <w:t xml:space="preserve">12. Función beneficio</w:t>
      </w:r>
    </w:p>
    <w:p>
      <w:pPr>
        <w:spacing w:after="120"/>
      </w:pPr>
      <w:r>
        <w:t xml:space="preserve">• Beneficio ponderado de un día = suma, para cada componente en cartera, de (peso/100) × (cierre de hoy / cierre de ayer).</w:t>
      </w:r>
    </w:p>
    <w:p>
      <w:pPr>
        <w:spacing w:after="120"/>
      </w:pPr>
      <w:r>
        <w:t xml:space="preserve">• "Beneficio sin cambio": el beneficio de la cartera ANTERIOR a la decisión de hoy, la que ya estaba formada el día antes, es la única cifra realmente alcanzable en la práctica, y la que se usa para medir y optimizar el modelo. El beneficio de la cartera recién seleccionada ese mismo día no lo es.</w:t>
      </w:r>
    </w:p>
    <w:p>
      <w:pPr>
        <w:spacing w:after="120" w:before="240"/>
      </w:pPr>
      <w:r>
        <w:rPr>
          <w:b/>
          <w:bCs/>
          <w:color w:val="1F3864"/>
          <w:sz w:val="28"/>
          <w:szCs w:val="28"/>
        </w:rPr>
        <w:t xml:space="preserve">13. Optimización de variables</w:t>
      </w:r>
    </w:p>
    <w:p>
      <w:pPr>
        <w:spacing w:after="120"/>
      </w:pPr>
      <w:r>
        <w:t xml:space="preserve">• Por búsqueda exhaustiva (no aprendizaje automático), maximizando la suma del "beneficio sin cambio" de las carteras anteriores en toda la ventana: factor de penalización (0–3, pasos de 0,1), número de componentes (3 a 6), tope de diversificación (mínimo posible a 70%, pasos de 5), y frecuencia de rebalanceo ("diario" o cada umbral de supervivientes 0..N−1).</w:t>
      </w:r>
    </w:p>
    <w:p>
      <w:pPr>
        <w:spacing w:after="120"/>
      </w:pPr>
      <w:r>
        <w:t xml:space="preserve">• Resultados guardados en la sesión del navegador; se reutilizan hasta que se recarga la página o se vuelve a optimizar.</w:t>
      </w:r>
    </w:p>
    <w:p>
      <w:pPr>
        <w:spacing w:after="120"/>
      </w:pPr>
      <w:r>
        <w:t xml:space="preserve">• El número de sesiones promediadas (sección 5) y la ventana de backtest (sección 14) NO se optimizan automáticamente: cambiar cualquiera de los dos implica recalcular todo desde los datos ya descargados — o volver a descargarlos, en el caso de la ventana —, así que se ajustan a mano y se vuelve a ejecutar el apartado que interese con el nuevo valor.</w:t>
      </w:r>
    </w:p>
    <w:p>
      <w:pPr>
        <w:spacing w:after="120"/>
      </w:pPr>
      <w:r>
        <w:t xml:space="preserve">• "Ejecutar cadena de selección" (sección 17) encadena automáticamente las cuatro optimizaciones anteriores, en orden, y con el resultado ejecuta la selección de cartera.</w:t>
      </w:r>
    </w:p>
    <w:p>
      <w:pPr>
        <w:spacing w:after="120" w:before="240"/>
      </w:pPr>
      <w:r>
        <w:rPr>
          <w:b/>
          <w:bCs/>
          <w:color w:val="1F3864"/>
          <w:sz w:val="28"/>
          <w:szCs w:val="28"/>
        </w:rPr>
        <w:t xml:space="preserve">14. Configuración de la ventana del backtest</w:t>
      </w:r>
    </w:p>
    <w:p>
      <w:pPr>
        <w:spacing w:after="120"/>
      </w:pPr>
      <w:r>
        <w:t xml:space="preserve">• Nº de sesiones configurable (20, 30, 50, 80 o 120). No se optimiza automáticamente — cambiarlo implica volver a descargar los datos —, pero se puede fijar a mano y volver a ejecutar cualquier apartado con el nuevo valor.</w:t>
      </w:r>
    </w:p>
    <w:p>
      <w:pPr>
        <w:spacing w:after="120" w:before="240"/>
      </w:pPr>
      <w:r>
        <w:rPr>
          <w:b/>
          <w:bCs/>
          <w:color w:val="1F3864"/>
          <w:sz w:val="28"/>
          <w:szCs w:val="28"/>
        </w:rPr>
        <w:t xml:space="preserve">15. Selección de los componentes de la cartera</w:t>
      </w:r>
    </w:p>
    <w:p>
      <w:pPr>
        <w:spacing w:after="120"/>
      </w:pPr>
      <w:r>
        <w:t xml:space="preserve">• Vista día a día de la cartera anterior y la recién seleccionada, con su beneficio, el incremento diario del propio índice elegido para comparar visualmente, y si ese día hubo o no rebalanceo.</w:t>
      </w:r>
    </w:p>
    <w:p>
      <w:pPr>
        <w:spacing w:after="120"/>
      </w:pPr>
      <w:r>
        <w:t xml:space="preserve">• Al final se muestra la rentabilidad total acumulada de las carteras anteriores frente a la del índice en el mismo periodo, y el coeficiente de correlación de Pearson entre el beneficio diario de la cartera y el incremento diario del índice.</w:t>
      </w:r>
    </w:p>
    <w:p>
      <w:pPr>
        <w:spacing w:after="120"/>
      </w:pPr>
      <w:r>
        <w:t xml:space="preserve">• Toda tabla de esta sección se puede descargar o compartir en PDF (sección 24).</w:t>
      </w:r>
    </w:p>
    <w:p>
      <w:pPr>
        <w:spacing w:after="120" w:before="240"/>
      </w:pPr>
      <w:r>
        <w:rPr>
          <w:b/>
          <w:bCs/>
          <w:color w:val="1F3864"/>
          <w:sz w:val="28"/>
          <w:szCs w:val="28"/>
        </w:rPr>
        <w:t xml:space="preserve">16. Selección técnica por volumen, flujo de dinero y sus antítesis</w:t>
      </w:r>
    </w:p>
    <w:p>
      <w:pPr>
        <w:spacing w:after="120"/>
      </w:pPr>
      <w:r>
        <w:t xml:space="preserve">• Cinco réplicas exactas de la sección anterior, en la misma página "Selección técnica", cambiando solo el criterio de puntuación (sección 5): volumen, flujo de dinero, precio bajo, volumen bajo y flujo de dinero bajo.</w:t>
      </w:r>
    </w:p>
    <w:p>
      <w:pPr>
        <w:spacing w:after="120"/>
      </w:pPr>
      <w:r>
        <w:t xml:space="preserve">• Las tres antítesis (precio bajo, volumen bajo, flujo bajo) aplican el mismo cálculo de puntuación que su contraparte directa, pero seleccionan los valores con MENOR puntuación en vez de mayor — el fondo de la tabla, no la cabeza.</w:t>
      </w:r>
    </w:p>
    <w:p>
      <w:pPr>
        <w:spacing w:after="120"/>
      </w:pPr>
      <w:r>
        <w:t xml:space="preserve">• Sirven de control adicional, igual que la selección aleatoria (sección 19): si un criterio directo no supera con claridad a su propia antítesis, tampoco está claro que esté aportando valor predictivo real.</w:t>
      </w:r>
    </w:p>
    <w:p>
      <w:pPr>
        <w:spacing w:after="120" w:before="240"/>
      </w:pPr>
      <w:r>
        <w:rPr>
          <w:b/>
          <w:bCs/>
          <w:color w:val="1F3864"/>
          <w:sz w:val="28"/>
          <w:szCs w:val="28"/>
        </w:rPr>
        <w:t xml:space="preserve">17. Ejecutar cadena de selección automática</w:t>
      </w:r>
    </w:p>
    <w:p>
      <w:pPr>
        <w:spacing w:after="120"/>
      </w:pPr>
      <w:r>
        <w:t xml:space="preserve">• Botón único, en la página "Parámetros técnicos", que encadena automáticamente las cuatro optimizaciones de la sección 13 — factor de penalización, número de componentes, tope de diversificación y frecuencia de rebalanceo, cada una usando ya el valor optimizado de la anterior — y, con esos parámetros, ejecuta la selección de cartera por precio (sección 15).</w:t>
      </w:r>
    </w:p>
    <w:p>
      <w:pPr>
        <w:spacing w:after="120"/>
      </w:pPr>
      <w:r>
        <w:t xml:space="preserve">• Muestra solo el resultado final: la cartera de hoy resultante y la comparación de la rentabilidad esperada del modelo frente al índice elegido, junto con los cuatro parámetros usados. Los pasos intermedios no se muestran aquí, pero se pueden ejecutar y ver uno a uno con los botones de las secciones 13-14 para seguir el proceso paso a paso.</w:t>
      </w:r>
    </w:p>
    <w:p>
      <w:pPr>
        <w:spacing w:after="120" w:before="240"/>
      </w:pPr>
      <w:r>
        <w:rPr>
          <w:b/>
          <w:bCs/>
          <w:color w:val="1F3864"/>
          <w:sz w:val="28"/>
          <w:szCs w:val="28"/>
        </w:rPr>
        <w:t xml:space="preserve">18. Selección por "veces seleccionado"</w:t>
      </w:r>
    </w:p>
    <w:p>
      <w:pPr>
        <w:spacing w:after="120"/>
      </w:pPr>
      <w:r>
        <w:t xml:space="preserve">• Aviso de estado: esta sección describe código real y correcto (pages/seleccionVeces.js y pages/api/seleccionVeces.js), pero desde la reestructuración del menú en tres submenús de selección ya no tiene enlace en el menú de hamburguesa — no aparece en la navegación normal de la aplicación. Sigue siendo accesible tecleando la URL directamente (/seleccionVeces); se conserva por si se quiere recuperar más adelante.</w:t>
      </w:r>
    </w:p>
    <w:p>
      <w:pPr>
        <w:spacing w:after="120"/>
      </w:pPr>
      <w:r>
        <w:t xml:space="preserve">• Modo "análisis": dos backtests sucesivos y sin solape. El primero, sobre un número configurable de sesiones anteriores a la ventana principal (5, 10, 15, 20 o 30), cuenta cuántas veces ha estado cada componente en cartera; se eligen los que más veces han estado, y con esa cartera fija (frecuencia "nunca", sección 9) se recorre la ventana principal.</w:t>
      </w:r>
    </w:p>
    <w:p>
      <w:pPr>
        <w:spacing w:after="120"/>
      </w:pPr>
      <w:r>
        <w:t xml:space="preserve">• Modo "cartera real": un único cálculo con las sesiones más recientes disponibles, para componer una cartera para invertir hoy — sin backtest posterior, asumiendo a propósito el sesgo de anticipación porque aquí el objetivo es la cartera de hoy, no medir una estrategia (ver sección 3).</w:t>
      </w:r>
    </w:p>
    <w:p>
      <w:pPr>
        <w:spacing w:after="120"/>
      </w:pPr>
      <w:r>
        <w:t xml:space="preserve">• Disponible también con criterio de volumen, además del de precio.</w:t>
      </w:r>
    </w:p>
    <w:p>
      <w:pPr>
        <w:spacing w:after="120" w:before="240"/>
      </w:pPr>
      <w:r>
        <w:rPr>
          <w:b/>
          <w:bCs/>
          <w:color w:val="1F3864"/>
          <w:sz w:val="28"/>
          <w:szCs w:val="28"/>
        </w:rPr>
        <w:t xml:space="preserve">19. Selección alternativa: fundamental, analistas, multifactor y aleatoria</w:t>
      </w:r>
    </w:p>
    <w:p>
      <w:pPr>
        <w:spacing w:after="120"/>
      </w:pPr>
      <w:r>
        <w:t xml:space="preserve">• Página "Selección alternativa", con cuatro formas de elegir cartera que no siguen el ranking técnico día a día de las secciones 15-16: se calculan una vez — con los datos de hoy, o con un criterio pseudoaleatorio — y se aplican, sin ningún rebalanceo, a toda la ventana de backtest.</w:t>
      </w:r>
    </w:p>
    <w:p>
      <w:pPr>
        <w:spacing w:after="120"/>
      </w:pPr>
      <w:r>
        <w:t xml:space="preserve">• Selección por fundamental: para cada índice del catálogo (sección 4) a la vez, elige los componentes mejor clasificados HOY según el criterio fundamental elegido — PER, PER futuro y precio/valor contable, de menor a mayor; EPS, EPS futuro y rentabilidad por dividendo, de mayor a menor; EPS y EPS futuro se normalizan dividiendo por el precio actual —, y calcula qué número de componentes (3 a 6) y qué pesos habrían dado la mayor rentabilidad acumulada en la ventana de backtest de ese índice, respetando el tope de diversificación.</w:t>
      </w:r>
    </w:p>
    <w:p>
      <w:pPr>
        <w:spacing w:after="120"/>
      </w:pPr>
      <w:r>
        <w:t xml:space="preserve">• Selección de los analistas: elige los componentes del índice elegido arriba mejor valorados HOY por el consenso de analistas de Yahoo Finance — de compra fuerte a venta fuerte, solo valores con al menos 3 analistas cubriéndolos —, y calcula, igual que en fundamental y sin rebalanceo, el número de componentes y los pesos que habrían dado la mayor rentabilidad acumulada.</w:t>
      </w:r>
    </w:p>
    <w:p>
      <w:pPr>
        <w:spacing w:after="120"/>
      </w:pPr>
      <w:r>
        <w:t xml:space="preserve">• Selección por modelo multifactor: ajusta, mediante una regresión ridge, el peso que mejor combina el momentum de precio, de volumen y de flujo de dinero, la dispersión — volatilidad — del precio, y los datos fundamentales de hoy — PER, EPS/precio, precio/valor contable, consenso de analistas — para predecir la rentabilidad futura de cada valor, y aplica esos pesos ya ajustados a los datos de HOY para elegir la cartera con mejor puntuación combinada. Se muestra el R² de validación, fuera de la muestra de entrenamiento, sin maquillar, incluso si sale bajo o negativo: esa cifra honesta es la que hay que mirar.</w:t>
      </w:r>
    </w:p>
    <w:p>
      <w:pPr>
        <w:spacing w:after="120"/>
      </w:pPr>
      <w:r>
        <w:t xml:space="preserve">• Selección aleatoria: los N componentes se eligen cada día al azar entre los del índice, a partir de una semilla fija, siempre con el mismo resultado si los datos no cambian. El resto de reglas de la selección técnica no cambia: protección, tope, reparto fijo, frecuencia de rebalanceo. Sirve como referencia: si ningún criterio técnico supera de forma clara a la selección aleatoria, el criterio de puntuación no está aportando valor real.</w:t>
      </w:r>
    </w:p>
    <w:p>
      <w:pPr>
        <w:spacing w:after="120" w:before="240"/>
      </w:pPr>
      <w:r>
        <w:rPr>
          <w:b/>
          <w:bCs/>
          <w:color w:val="1F3864"/>
          <w:sz w:val="28"/>
          <w:szCs w:val="28"/>
        </w:rPr>
        <w:t xml:space="preserve">20. Análisis de correlación con el índice</w:t>
      </w:r>
    </w:p>
    <w:p>
      <w:pPr>
        <w:spacing w:after="120"/>
      </w:pPr>
      <w:r>
        <w:t xml:space="preserve">• Tabla método × duración de backtest, con los 7 métodos técnicos (precio, volumen, flujo de dinero, sus tres antítesis y aleatorio) y 5 duraciones (20, 30, 50, 80 y 120 sesiones), con 6 ventanas históricas sin solape por celda y, para "aleatorio", 10 semillas distintas por ventana — para tener una distribución de control, no un único punto.</w:t>
      </w:r>
    </w:p>
    <w:p>
      <w:pPr>
        <w:spacing w:after="120"/>
      </w:pPr>
      <w:r>
        <w:t xml:space="preserve">• Columnas: correlación media, transformación de Fisher, y rango, rentabilidad media de la cartera y rango, rentabilidad media del propio índice.</w:t>
      </w:r>
    </w:p>
    <w:p>
      <w:pPr>
        <w:spacing w:after="120"/>
      </w:pPr>
      <w:r>
        <w:t xml:space="preserve">• La aplicación genera automáticamente una conclusión en texto, comparando cada criterio frente a la distribución de la selección aleatoria, puntuación z por duración, y la diferencia de correlación media entre métodos.</w:t>
      </w:r>
    </w:p>
    <w:p>
      <w:pPr>
        <w:spacing w:after="120"/>
      </w:pPr>
      <w:r>
        <w:t xml:space="preserve">• Todo el histórico necesario se descarga una sola vez; los cálculos con las distintas ventanas y semillas se hacen en memoria, sin volver a llamar a Yahoo Finance por cada celda.</w:t>
      </w:r>
    </w:p>
    <w:p>
      <w:pPr>
        <w:spacing w:after="120" w:before="240"/>
      </w:pPr>
      <w:r>
        <w:rPr>
          <w:b/>
          <w:bCs/>
          <w:color w:val="1F3864"/>
          <w:sz w:val="28"/>
          <w:szCs w:val="28"/>
        </w:rPr>
        <w:t xml:space="preserve">21. Correlación con las recomendaciones de los analistas</w:t>
      </w:r>
    </w:p>
    <w:p>
      <w:pPr>
        <w:spacing w:after="120"/>
      </w:pPr>
      <w:r>
        <w:t xml:space="preserve">• Para un índice: comprueba si el consenso de analistas de HOY guarda relación con la rentabilidad real que ha tenido después cada componente, en 1, 2, 3 y 6 meses — no tiene sentido mirar más atrás: las recomendaciones cambian con relativa frecuencia. El consenso de Yahoo — 1 = compra fuerte, 5 = venta fuerte — se invierte a "5 menos ese valor", para que una correlación positiva signifique lo esperado: mejor consenso, mejor comportamiento posterior.</w:t>
      </w:r>
    </w:p>
    <w:p>
      <w:pPr>
        <w:spacing w:after="120"/>
      </w:pPr>
      <w:r>
        <w:t xml:space="preserve">• Para varios índices a la vez: la misma correlación (1, 2, 3 y 6 meses), una fila por cada índice marcado, para comparar si el efecto del consenso de analistas es más fuerte en unos índices que en otros.</w:t>
      </w:r>
    </w:p>
    <w:p>
      <w:pPr>
        <w:spacing w:after="120"/>
      </w:pPr>
      <w:r>
        <w:t xml:space="preserve">• El consenso de analistas solo se puede consultar valor por valor — no hay una consulta rápida para todo el índice a la vez —, así que cuantos más índices se marquen — y cuantos más componentes tengan — más tardará la comprobación.</w:t>
      </w:r>
    </w:p>
    <w:p>
      <w:pPr>
        <w:spacing w:after="120" w:before="240"/>
      </w:pPr>
      <w:r>
        <w:rPr>
          <w:b/>
          <w:bCs/>
          <w:color w:val="1F3864"/>
          <w:sz w:val="28"/>
          <w:szCs w:val="28"/>
        </w:rPr>
        <w:t xml:space="preserve">22. Rentabilidad de los ETFs</w:t>
      </w:r>
    </w:p>
    <w:p>
      <w:pPr>
        <w:spacing w:after="120"/>
      </w:pPr>
      <w:r>
        <w:t xml:space="preserve">• Compara la rentabilidad del índice elegido con la de sus ETFs UCITS comparables — de distribución para todos los índices salvo el DAX, que por ser de rentabilidad total necesita justo lo contrario, uno de acumulación (ver sección 4). Se muestran también los ETFs UCITS del tipo opuesto, no comparables por el mismo motivo, pero incluidos para poder consultarlos igualmente.</w:t>
      </w:r>
    </w:p>
    <w:p>
      <w:pPr>
        <w:spacing w:after="120"/>
      </w:pPr>
      <w:r>
        <w:t xml:space="preserve">• Periodos comparados: 60 y 120 sesiones, y 1, 2 y 3 años. En verde, los periodos en los que el ETF supera al índice; en rojo, los que quedan por debajo.</w:t>
      </w:r>
    </w:p>
    <w:p>
      <w:pPr>
        <w:spacing w:after="120" w:before="240"/>
      </w:pPr>
      <w:r>
        <w:rPr>
          <w:b/>
          <w:bCs/>
          <w:color w:val="1F3864"/>
          <w:sz w:val="28"/>
          <w:szCs w:val="28"/>
        </w:rPr>
        <w:t xml:space="preserve">23. Comprobaciones y herramientas de auditoría</w:t>
      </w:r>
    </w:p>
    <w:p>
      <w:pPr>
        <w:spacing w:after="120"/>
      </w:pPr>
      <w:r>
        <w:t xml:space="preserve">• Comprobación de un valor: elige un ticker y calcula su variación porcentual entre sus últimos cierres diarios (la funcionalidad original del proyecto, sección "Paso 1").</w:t>
      </w:r>
    </w:p>
    <w:p>
      <w:pPr>
        <w:spacing w:after="120"/>
      </w:pPr>
      <w:r>
        <w:t xml:space="preserve">• Puntuaciones de una sesión concreta: dado un número de sesión dentro de la ventana descargada, muestra la puntuación (sección 5) de todos los componentes en esa fecha exacta, sin aplicar ninguna regla de cartera ni rebalanceo — para poder auditarla a mano. Solo aplica a precio, volumen y flujo de dinero, y a sus antítesis; no aplica a aleatorio, fundamental ni analistas, que no tienen puntuación por sesión.</w:t>
      </w:r>
    </w:p>
    <w:p>
      <w:pPr>
        <w:spacing w:after="120"/>
      </w:pPr>
      <w:r>
        <w:t xml:space="preserve">• Variación de índices: descarga el histórico de cierres de los propios índices (no de sus componentes) y muestra las últimas sesiones de cada uno, con fecha, cierre e incremento diario, para comprobar a mano que los datos coinciden con lo que usa el resto de la aplicación.</w:t>
      </w:r>
    </w:p>
    <w:p>
      <w:pPr>
        <w:spacing w:after="120"/>
      </w:pPr>
      <w:r>
        <w:t xml:space="preserve">• Comprobación de componentes vía ETF: consulta el top 10 de holdings del ETF de referencia de cada índice (sección 4) y lo compara con la lista de componentes que usa la aplicación, para detectar a simple vista si algún valor con mucho peso se ha quedado desactualizado — Yahoo solo expone el top 10 de un ETF, nunca la lista completa.</w:t>
      </w:r>
    </w:p>
    <w:p>
      <w:pPr>
        <w:spacing w:after="120"/>
      </w:pPr>
      <w:r>
        <w:t xml:space="preserve">• Datos fundamentales: consulta en una sola llamada los datos fundamentales de todos los componentes del índice elegido.</w:t>
      </w:r>
    </w:p>
    <w:p>
      <w:pPr>
        <w:spacing w:after="120"/>
      </w:pPr>
      <w:r>
        <w:t xml:space="preserve">• Recomendaciones de los analistas: consulta valor por valor el consenso de analistas y el número de analistas que cubren cada componente, incluidos los que no tengan datos válidos, para poder auditar a mano la clasificación que usa "Selección de los analistas" (sección 19).</w:t>
      </w:r>
    </w:p>
    <w:p>
      <w:pPr>
        <w:spacing w:after="120" w:before="240"/>
      </w:pPr>
      <w:r>
        <w:rPr>
          <w:b/>
          <w:bCs/>
          <w:color w:val="1F3864"/>
          <w:sz w:val="28"/>
          <w:szCs w:val="28"/>
        </w:rPr>
        <w:t xml:space="preserve">24. Exportación y envío de resultados en PDF</w:t>
      </w:r>
    </w:p>
    <w:p>
      <w:pPr>
        <w:spacing w:after="120"/>
      </w:pPr>
      <w:r>
        <w:t xml:space="preserve">• Cualquier tabla de resultados de la aplicación — comprobaciones, selección, análisis... — se puede generar como PDF en el propio navegador, a partir de los datos ya cargados en pantalla, sin volver a llamar a ningún endpoint.</w:t>
      </w:r>
    </w:p>
    <w:p>
      <w:pPr>
        <w:spacing w:after="120"/>
      </w:pPr>
      <w:r>
        <w:t xml:space="preserve">• Descargar PDF: guarda el fichero directamente en el dispositivo.</w:t>
      </w:r>
    </w:p>
    <w:p>
      <w:pPr>
        <w:spacing w:after="120"/>
      </w:pPr>
      <w:r>
        <w:t xml:space="preserve">• Compartir PDF: abre el panel nativo de "compartir" del dispositivo (navigator.share) con el PDF ya adjunto, para elegir Gmail, WhatsApp o cualquier otra app instalada, sin pasar por ningún servidor propio. Solo se ofrece en dispositivos que lo soportan — la mayoría de móviles; muchos navegadores de escritorio no.</w:t>
      </w:r>
    </w:p>
    <w:p>
      <w:pPr>
        <w:spacing w:after="120" w:before="240"/>
      </w:pPr>
      <w:r>
        <w:rPr>
          <w:b/>
          <w:bCs/>
          <w:color w:val="1F3864"/>
          <w:sz w:val="28"/>
          <w:szCs w:val="28"/>
        </w:rPr>
        <w:t xml:space="preserve">25. Validación del modelo</w:t>
      </w:r>
    </w:p>
    <w:p>
      <w:pPr>
        <w:spacing w:after="120"/>
      </w:pPr>
      <w:r>
        <w:t xml:space="preserve">• Comparación sistemática frente a una selección aleatoria de control — mismo tamaño de cartera, mismas reglas de rebalanceo — y frente a las antítesis de cada criterio directo (sección 16), como referencia de significancia práctica, no solo frente al propio índice.</w:t>
      </w:r>
    </w:p>
    <w:p>
      <w:pPr>
        <w:spacing w:after="120"/>
      </w:pPr>
      <w:r>
        <w:t xml:space="preserve">• Limitaciones conocidas: en varios índices del catálogo el universo de valores es pequeño — hasta solo 3 componentes en algún índice ADR parcial (sección 4) —, el historial de mercado es limitado, y las ventanas de backtest son cortas — los resultados deben leerse con cautela estadística, no como prueba concluyente.</w:t>
      </w:r>
    </w:p>
    <w:p>
      <w:pPr>
        <w:spacing w:after="120" w:before="240"/>
      </w:pPr>
      <w:r>
        <w:rPr>
          <w:b/>
          <w:bCs/>
          <w:color w:val="1F3864"/>
          <w:sz w:val="28"/>
          <w:szCs w:val="28"/>
        </w:rPr>
        <w:t xml:space="preserve">26. Modelo de réplica de un índice</w:t>
      </w:r>
    </w:p>
    <w:p>
      <w:pPr>
        <w:spacing w:after="120"/>
      </w:pPr>
      <w:r>
        <w:t xml:space="preserve">Busca, entre los componentes del índice elegido, la combinación de 3 a 6 valores y los pesos que minimizan el error de seguimiento frente al propio índice — la diferencia diaria entre el incremento de la cartera y el del índice, ajustada por mínimos cuadrados con la restricción de que los pesos sumen 100% —, no busca batir al índice, busca parecerse a él lo más posible: el mismo principio que usan los fondos indexados reales, aplicado a un puñado de valores en vez de a la réplica completa.</w:t>
      </w:r>
    </w:p>
    <w:p>
      <w:pPr>
        <w:spacing w:after="120"/>
      </w:pPr>
      <w:r>
        <w:t xml:space="preserve">Búsqueda por fuerza bruta, prueba todas las combinaciones posibles, para índices de hasta 25 componentes; búsqueda por pasos, añade de uno en uno el valor que más reduce el error, para índices más grandes, hasta 50 componentes — deja fuera solo al Nasdaq 100 por su tamaño. Pensada sobre todo para los índices ADR (sección 4), que no tienen ningún ETF de referencia; si el índice elegido sí tiene un ETF real, comprarlo sigue siendo la forma más sencilla y fiable de replicarlo.</w:t>
      </w:r>
    </w:p>
    <w:p>
      <w:pPr>
        <w:spacing w:after="120" w:before="240"/>
      </w:pPr>
      <w:r>
        <w:rPr>
          <w:b/>
          <w:bCs/>
          <w:color w:val="1F3864"/>
          <w:sz w:val="28"/>
          <w:szCs w:val="28"/>
        </w:rPr>
        <w:t xml:space="preserve">27. Anomalías en el flujo de dinero bajo</w:t>
      </w:r>
    </w:p>
    <w:p>
      <w:pPr>
        <w:spacing w:after="120"/>
      </w:pPr>
      <w:r>
        <w:t xml:space="preserve">Sección de investigación aparte, en su propia entrada de menú, nacida de una observación durante el desarrollo: al comparar la selección por "flujo de dinero bajo" (sección 16) con el resto de criterios en distintas duraciones de backtest, su dispersión de resultados se comporta de forma distinta al resto — se estrecha, en vez de ensancharse, al alargar la ventana, con un sesgo positivo hacia rentabilidades superiores al índice.</w:t>
      </w:r>
    </w:p>
    <w:p>
      <w:pPr>
        <w:spacing w:after="120"/>
      </w:pPr>
      <w:r>
        <w:t xml:space="preserve">Cuatro herramientas, cada una una comprobación distinta para entender si es un efecto real o un artefacto de la muestra: concentración de la selección, cuenta cada aparición de cada valor elegido en varias duraciones de ventana, comparando "flujo bajo" con "flujo" normal como referencia; medición de caídas previas, para cada valor elegido calcula cuántas sesiones atrás hace falta retroceder para encontrar una caída de precio del 5, 10, 15 o 20%.</w:t>
      </w:r>
    </w:p>
    <w:p>
      <w:pPr>
        <w:spacing w:after="120"/>
      </w:pPr>
      <w:r>
        <w:t xml:space="preserve">Perfil de volumen previo, el complemento de la anterior y la comprobación que de verdad separa las dos hipótesis en juego — si la caída vino con un pico puntual de volumen, compatible con un desplome real, o con volumen sostenido sin ningún pico, compatible con una fase de acumulación silenciosa; y rentabilidad de la selección por flujo de dinero bajo, la comprobación directa sobre la rentabilidad en vez de solo sobre variables intermedias, con los cuatro parámetros de cartera (factor de penalización, número de componentes, tope de diversificación, frecuencia de rebalanceo) de selección única y varios índices tradicionales a la vez.</w:t>
      </w:r>
    </w:p>
    <w:p>
      <w:pPr>
        <w:spacing w:after="120" w:before="240"/>
      </w:pPr>
      <w:r>
        <w:rPr>
          <w:b/>
          <w:bCs/>
          <w:color w:val="1F3864"/>
          <w:sz w:val="28"/>
          <w:szCs w:val="28"/>
        </w:rPr>
        <w:t xml:space="preserve">28. Rentabilidad de todos los ETFs</w:t>
      </w:r>
    </w:p>
    <w:p>
      <w:pPr>
        <w:spacing w:after="120"/>
      </w:pPr>
      <w:r>
        <w:t xml:space="preserve">Misma comparación que "Rentabilidad de los ETFs" (sección 22), pero recorriendo de una vez todos los índices que tienen algún ETF de referencia — excluye automáticamente el PSI 20 y toda la serie de índices ADR (sección 4), que no tienen ninguno. Resiliente por índice: si uno falla al descargarse, se marca con su propio error sin romper el cálculo de los demás. Un único PDF con todos los índices juntos (sección 24), para comparar o compartir de una vez.</w:t>
      </w:r>
    </w:p>
    <w:p>
      <w:pPr>
        <w:spacing w:after="120" w:before="240"/>
      </w:pPr>
      <w:r>
        <w:rPr>
          <w:b/>
          <w:bCs/>
          <w:color w:val="1F3864"/>
          <w:sz w:val="28"/>
          <w:szCs w:val="28"/>
        </w:rPr>
        <w:t xml:space="preserve">29. Resiliencia frente a datos incompletos y avisos de resultado no fiable</w:t>
      </w:r>
    </w:p>
    <w:p>
      <w:pPr>
        <w:spacing w:after="120"/>
      </w:pPr>
      <w:r>
        <w:t xml:space="preserve">Un componente concreto de un índice puede fallar al descargarse — símbolo cambiado, historial insuficiente para la ventana pedida — sin que eso rompa el cálculo del resto: se excluye ese valor y se continúa, en vez de que la petición entera falle con un error genérico (afecta a la descarga de datos compartida por buena parte de la aplicación, no a una sola herramienta).</w:t>
      </w:r>
    </w:p>
    <w:p>
      <w:pPr>
        <w:spacing w:after="120"/>
      </w:pPr>
      <w:r>
        <w:t xml:space="preserve">Además, cuando un cálculo da una rentabilidad tan extrema — por debajo de un umbral, -60% — que es más probable que se deba a un fallo interno todavía no resuelto que a una pérdida real de la cartera, no se muestra ese número: se marca de forma explícita ("N/D *") con una nota aclaratoria, en vez de dar una cifra que parece real y no lo es. Amplía la cautela de la sección 25 con esta salvaguarda concreta.</w:t>
      </w:r>
    </w:p>
    <w:p>
      <w:pPr>
        <w:spacing w:after="120" w:before="240"/>
      </w:pPr>
      <w:r>
        <w:rPr>
          <w:b/>
          <w:bCs/>
          <w:color w:val="1F3864"/>
          <w:sz w:val="28"/>
          <w:szCs w:val="28"/>
        </w:rPr>
        <w:t xml:space="preserve">31. Comparación con red neuronal</w:t>
      </w:r>
    </w:p>
    <w:p>
      <w:pPr>
        <w:spacing w:after="120"/>
      </w:pPr>
      <w:r>
        <w:t xml:space="preserve">Sección de investigación aparte, que retoma deliberadamente la idea descartada en la sección 3, pero esta vez como experimento controlado y no como método de selección de la aplicación: calibrar dos formas de aprender a puntuar valores — una regresión ridge (la misma que usa el modelo multifactor, sección 19) y una red neuronal pequeña, ambas construidas y entrenadas desde cero sin ninguna librería de aprendizaje automático — mediante walk-forward: entrenar con lo ya conocido, aplicar al tramo siguiente, comparar con el resultado real, reajustar, deslizar la ventana una sesión hacia delante.</w:t>
      </w:r>
    </w:p>
    <w:p>
      <w:pPr>
        <w:spacing w:after="120"/>
      </w:pPr>
      <w:r>
        <w:t xml:space="preserve">Las variables no son un resumen de la ventana de cálculo (13 sesiones), sino el valor de cada sesión por separado — el incremento de precio, de volumen y de flujo de dinero de cada uno de los últimos días, más las 4 variables fundamentales de siempre, constantes —, 43 variables de entrada en total. El usuario elige cuántas de las últimas sesiones (1 a 10) se reservan para una fase de prueba en la que el modelo queda congelado y se aplica solo a datos que nunca ha visto — la única forma honesta de medir si acierta de verdad, y no solo si memoriza los datos con los que se ajustó.</w:t>
      </w:r>
    </w:p>
    <w:p>
      <w:pPr>
        <w:spacing w:after="120"/>
      </w:pPr>
      <w:r>
        <w:t xml:space="preserve">El resultado, agregado sobre varios índices, no mostró ninguna ventaja fiable de ninguno de los dos modelos frente a la línea base (la rentabilidad media de todos los candidatos elegibles ese mismo día): la red neuronal quedó prácticamente en el 50% de aciertos esperable por puro azar, y ridge, algo por debajo, sin llegar a un nivel estadísticamente concluyente. Confirma, con un método de validación más exigente, el mismo resultado ya obtenido con el modelo multifactor (sección 19): ninguno de los enfoques probados en este proyecto ha demostrado una ventaja predictiva fiable sobre no aplicar ningún criterio.</w:t>
      </w:r>
    </w:p>
    <w:p>
      <w:pPr>
        <w:spacing w:after="120" w:before="240"/>
      </w:pPr>
      <w:r>
        <w:rPr>
          <w:b/>
          <w:bCs/>
          <w:color w:val="1F3864"/>
          <w:sz w:val="28"/>
          <w:szCs w:val="28"/>
        </w:rPr>
        <w:t xml:space="preserve">32. Cuestiones abiertas para el desarrollo</w:t>
      </w:r>
    </w:p>
    <w:p>
      <w:pPr>
        <w:spacing w:after="120"/>
      </w:pPr>
      <w:r>
        <w:t xml:space="preserve">• Explorar más indicadores interpretables dentro del mismo marco riguroso — por ejemplo, una media móvil de ventana ajustable en vez de las 3/5/8/13 sesiones fijas actuales.</w:t>
      </w:r>
    </w:p>
    <w:p>
      <w:pPr>
        <w:spacing w:after="120"/>
      </w:pPr>
      <w:r>
        <w:t xml:space="preserve">• Ya explorado como experimento aparte (sección 31): un modelo de selección propio tipo red neuronal / perceptrón, calibrado por walk-forward y validado con datos nunca vistos — sin ninguna ventaja predictiva fiable frente a la línea base, igual que el modelo multifactor (sección 19).</w:t>
      </w:r>
    </w:p>
    <w:p>
      <w:pPr>
        <w:spacing w:after="120"/>
      </w:pPr>
      <w:r>
        <w:t xml:space="preserve">• Fichero huérfano pendiente de borrar del repositorio: pages/api/testOptimizacion.js, ya no se llama desde ninguna página. La selección por "veces seleccionado" (pages/seleccionVeces.js) está huérfana a propósito, no pendiente de borrado — ver el aviso de estado en la sección 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2026-08-06T07:35:38.908Z</dcterms:created>
  <dcterms:modified xsi:type="dcterms:W3CDTF">2026-08-06T07:35:38.924Z</dcterms:modified>
</cp:coreProperties>
</file>

<file path=docProps/custom.xml><?xml version="1.0" encoding="utf-8"?>
<Properties xmlns="http://schemas.openxmlformats.org/officeDocument/2006/custom-properties" xmlns:vt="http://schemas.openxmlformats.org/officeDocument/2006/docPropsVTypes"/>
</file>