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56"/>
          <w:szCs w:val="56"/>
        </w:rPr>
        <w:t xml:space="preserve">IA PARA FI DOW JONES</w:t>
      </w:r>
    </w:p>
    <w:p>
      <w:pPr>
        <w:spacing w:after="60"/>
      </w:pPr>
      <w:r>
        <w:rPr>
          <w:i/>
          <w:iCs/>
          <w:color w:val="2E74B5"/>
          <w:sz w:val="24"/>
          <w:szCs w:val="24"/>
        </w:rPr>
        <w:t xml:space="preserve">Fondo creado por IA sobre un índice — Documento de especificaciones / AI-built fund over an index — Specifications document</w:t>
      </w:r>
    </w:p>
    <w:p>
      <w:pPr>
        <w:spacing w:after="300"/>
      </w:pPr>
      <w:r>
        <w:rPr>
          <w:color w:val="6B6B6B"/>
          <w:sz w:val="20"/>
          <w:szCs w:val="20"/>
        </w:rPr>
        <w:t xml:space="preserve">Versión 1 — Julio 2026 / Version 1 — July 2026 — Documento bilingüe (español / English)</w:t>
      </w:r>
    </w:p>
    <w:p>
      <w:pPr>
        <w:pBdr>
          <w:bottom w:val="single" w:color="BFBFBF" w:sz="6" w:space="1"/>
        </w:pBd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75"/>
            <w:shd w:fill="1F3864" w:val="clear"/>
            <w:tcMar>
              <w:top w:type="dxa" w:w="100"/>
              <w:left w:type="dxa" w:w="120"/>
              <w:bottom w:type="dxa" w:w="100"/>
              <w:right w:type="dxa" w:w="120"/>
            </w:tcMar>
            <w:vAlign w:val="top"/>
          </w:tcPr>
          <w:p>
            <w:r>
              <w:rPr>
                <w:b/>
                <w:bCs/>
                <w:color w:val="FFFFFF"/>
              </w:rPr>
              <w:t xml:space="preserve">ESPAÑOL</w:t>
            </w:r>
          </w:p>
        </w:tc>
        <w:tc>
          <w:tcPr>
            <w:tcW w:type="dxa" w:w="4675"/>
            <w:shd w:fill="1F3864" w:val="clear"/>
            <w:tcMar>
              <w:top w:type="dxa" w:w="100"/>
              <w:left w:type="dxa" w:w="120"/>
              <w:bottom w:type="dxa" w:w="100"/>
              <w:right w:type="dxa" w:w="120"/>
            </w:tcMar>
            <w:vAlign w:val="top"/>
          </w:tcPr>
          <w:p>
            <w:r>
              <w:rPr>
                <w:b/>
                <w:bCs/>
                <w:color w:val="FFFFFF"/>
              </w:rPr>
              <w:t xml:space="preserve">ENGLISH</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 Objetivo del proyecto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 Project objective</w:t>
            </w:r>
          </w:p>
        </w:tc>
      </w:tr>
      <w:tr>
        <w:tc>
          <w:tcPr>
            <w:tcW w:type="dxa" w:w="4675"/>
            <w:tcMar>
              <w:top w:type="dxa" w:w="100"/>
              <w:left w:type="dxa" w:w="120"/>
              <w:bottom w:type="dxa" w:w="100"/>
              <w:right w:type="dxa" w:w="120"/>
            </w:tcMar>
            <w:vAlign w:val="top"/>
          </w:tcPr>
          <w:p>
            <w:r>
              <w:rPr>
                <w:b w:val="false"/>
                <w:bCs w:val="false"/>
              </w:rPr>
              <w:t xml:space="preserve">Construir, mediante un modelo de optimización sencillo (programación lineal), un fondo de inversión cuya composición se determina automáticamente a partir de las cotizaciones de los componentes de un índice bursátil.</w:t>
            </w:r>
          </w:p>
        </w:tc>
        <w:tc>
          <w:tcPr>
            <w:tcW w:type="dxa" w:w="4675"/>
            <w:tcMar>
              <w:top w:type="dxa" w:w="100"/>
              <w:left w:type="dxa" w:w="120"/>
              <w:bottom w:type="dxa" w:w="100"/>
              <w:right w:type="dxa" w:w="120"/>
            </w:tcMar>
            <w:vAlign w:val="top"/>
          </w:tcPr>
          <w:p>
            <w:r>
              <w:rPr>
                <w:b w:val="false"/>
                <w:bCs w:val="false"/>
              </w:rPr>
              <w:t xml:space="preserve">Build, using a simple optimization model (linear programming), an investment fund whose composition is determined automatically from the prices of the components of a stock market index.</w:t>
            </w:r>
          </w:p>
        </w:tc>
      </w:tr>
      <w:tr>
        <w:tc>
          <w:tcPr>
            <w:tcW w:type="dxa" w:w="4675"/>
            <w:tcMar>
              <w:top w:type="dxa" w:w="100"/>
              <w:left w:type="dxa" w:w="120"/>
              <w:bottom w:type="dxa" w:w="100"/>
              <w:right w:type="dxa" w:w="120"/>
            </w:tcMar>
            <w:vAlign w:val="top"/>
          </w:tcPr>
          <w:p>
            <w:r>
              <w:rPr>
                <w:b w:val="false"/>
                <w:bCs w:val="false"/>
              </w:rPr>
              <w:t xml:space="preserve">La función objetivo del modelo es maximizar el rendimiento total del fondo, entendido como la suma de los incrementos de cotización de los componentes seleccionados, ponderados por su peso en la cartera.</w:t>
            </w:r>
          </w:p>
        </w:tc>
        <w:tc>
          <w:tcPr>
            <w:tcW w:type="dxa" w:w="4675"/>
            <w:tcMar>
              <w:top w:type="dxa" w:w="100"/>
              <w:left w:type="dxa" w:w="120"/>
              <w:bottom w:type="dxa" w:w="100"/>
              <w:right w:type="dxa" w:w="120"/>
            </w:tcMar>
            <w:vAlign w:val="top"/>
          </w:tcPr>
          <w:p>
            <w:r>
              <w:rPr>
                <w:b w:val="false"/>
                <w:bCs w:val="false"/>
              </w:rPr>
              <w:t xml:space="preserve">The model's objective function is to maximize the fund's total return, understood as the sum of the price increases of the selected components, weighted by their weight in the portfolio.</w:t>
            </w:r>
          </w:p>
        </w:tc>
      </w:tr>
      <w:tr>
        <w:tc>
          <w:tcPr>
            <w:tcW w:type="dxa" w:w="4675"/>
            <w:tcMar>
              <w:top w:type="dxa" w:w="100"/>
              <w:left w:type="dxa" w:w="120"/>
              <w:bottom w:type="dxa" w:w="100"/>
              <w:right w:type="dxa" w:w="120"/>
            </w:tcMar>
            <w:vAlign w:val="top"/>
          </w:tcPr>
          <w:p>
            <w:r>
              <w:rPr>
                <w:b w:val="false"/>
                <w:bCs w:val="false"/>
              </w:rPr>
              <w:t xml:space="preserve">Importante: el modelo se basa exclusivamente en la cotización de los valores (análisis técnico), sin considerar ningún valor fundamental de las empresas (beneficios, liquidez, ratio precio-beneficio, perspectivas de negocio, etc.). Esto supone una visión optimista: se seleccionan los valores que mejor han evolucionado recientemente, asumiendo que esa tendencia continuará, lo cual tampoco es plenamente realista. Se trata de un modelo simplificado para estudiar cómo se comporta esta forma de selección mantenida en el tiempo, no de una recomendación de inversión fundamentada.</w:t>
            </w:r>
          </w:p>
        </w:tc>
        <w:tc>
          <w:tcPr>
            <w:tcW w:type="dxa" w:w="4675"/>
            <w:tcMar>
              <w:top w:type="dxa" w:w="100"/>
              <w:left w:type="dxa" w:w="120"/>
              <w:bottom w:type="dxa" w:w="100"/>
              <w:right w:type="dxa" w:w="120"/>
            </w:tcMar>
            <w:vAlign w:val="top"/>
          </w:tcPr>
          <w:p>
            <w:r>
              <w:rPr>
                <w:b w:val="false"/>
                <w:bCs w:val="false"/>
              </w:rPr>
              <w:t xml:space="preserve">Important: the model is based exclusively on stock prices (technical analysis), without considering any fundamental value of the companies (earnings, liquidity, price-to-earnings ratio, business outlook, etc.). This implies an optimistic view: the stocks that have performed best recently are selected, assuming that trend will continue, which is not fully realistic either. It is a simplified model for studying how this selection approach behaves over time, not a fundamentally grounded investment recommendation.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 Tecnología y arquitectura</w:t>
            </w:r>
          </w:p>
        </w:tc>
        <w:tc>
          <w:tcPr>
            <w:tcW w:type="dxa" w:w="4675"/>
            <w:shd w:fill="D9E2F3" w:val="clear"/>
            <w:tcMar>
              <w:top w:type="dxa" w:w="100"/>
              <w:left w:type="dxa" w:w="120"/>
              <w:bottom w:type="dxa" w:w="100"/>
              <w:right w:type="dxa" w:w="120"/>
            </w:tcMar>
            <w:vAlign w:val="top"/>
          </w:tcPr>
          <w:p>
            <w:r>
              <w:rPr>
                <w:b/>
                <w:bCs/>
                <w:color w:val="1F3864"/>
                <w:sz w:val="26"/>
                <w:szCs w:val="26"/>
              </w:rPr>
              <w:t xml:space="preserve">2. Technology and architecture</w:t>
            </w:r>
          </w:p>
        </w:tc>
      </w:tr>
      <w:tr>
        <w:tc>
          <w:tcPr>
            <w:tcW w:type="dxa" w:w="4675"/>
            <w:tcMar>
              <w:top w:type="dxa" w:w="100"/>
              <w:left w:type="dxa" w:w="120"/>
              <w:bottom w:type="dxa" w:w="100"/>
              <w:right w:type="dxa" w:w="120"/>
            </w:tcMar>
            <w:vAlign w:val="top"/>
          </w:tcPr>
          <w:p>
            <w:r>
              <w:rPr>
                <w:b w:val="false"/>
                <w:bCs w:val="false"/>
              </w:rPr>
              <w:t xml:space="preserve">• Lenguaje: JavaScript (Node.js), sobre un proyecto Next.js.</w:t>
            </w:r>
          </w:p>
        </w:tc>
        <w:tc>
          <w:tcPr>
            <w:tcW w:type="dxa" w:w="4675"/>
            <w:tcMar>
              <w:top w:type="dxa" w:w="100"/>
              <w:left w:type="dxa" w:w="120"/>
              <w:bottom w:type="dxa" w:w="100"/>
              <w:right w:type="dxa" w:w="120"/>
            </w:tcMar>
            <w:vAlign w:val="top"/>
          </w:tcPr>
          <w:p>
            <w:r>
              <w:rPr>
                <w:b w:val="false"/>
                <w:bCs w:val="false"/>
              </w:rPr>
              <w:t xml:space="preserve">• Language: JavaScript (Node.js), on a Next.js project.</w:t>
            </w:r>
          </w:p>
        </w:tc>
      </w:tr>
      <w:tr>
        <w:tc>
          <w:tcPr>
            <w:tcW w:type="dxa" w:w="4675"/>
            <w:tcMar>
              <w:top w:type="dxa" w:w="100"/>
              <w:left w:type="dxa" w:w="120"/>
              <w:bottom w:type="dxa" w:w="100"/>
              <w:right w:type="dxa" w:w="120"/>
            </w:tcMar>
            <w:vAlign w:val="top"/>
          </w:tcPr>
          <w:p>
            <w:r>
              <w:rPr>
                <w:b w:val="false"/>
                <w:bCs w:val="false"/>
              </w:rPr>
              <w:t xml:space="preserve">• Librería de datos históricos: yahoo-finance2 (equivalente en JavaScript a yfinance de Python).</w:t>
            </w:r>
          </w:p>
        </w:tc>
        <w:tc>
          <w:tcPr>
            <w:tcW w:type="dxa" w:w="4675"/>
            <w:tcMar>
              <w:top w:type="dxa" w:w="100"/>
              <w:left w:type="dxa" w:w="120"/>
              <w:bottom w:type="dxa" w:w="100"/>
              <w:right w:type="dxa" w:w="120"/>
            </w:tcMar>
            <w:vAlign w:val="top"/>
          </w:tcPr>
          <w:p>
            <w:r>
              <w:rPr>
                <w:b w:val="false"/>
                <w:bCs w:val="false"/>
              </w:rPr>
              <w:t xml:space="preserve">• Historical data library: yahoo-finance2 (the JavaScript equivalent of Python's yfinance).</w:t>
            </w:r>
          </w:p>
        </w:tc>
      </w:tr>
      <w:tr>
        <w:tc>
          <w:tcPr>
            <w:tcW w:type="dxa" w:w="4675"/>
            <w:tcMar>
              <w:top w:type="dxa" w:w="100"/>
              <w:left w:type="dxa" w:w="120"/>
              <w:bottom w:type="dxa" w:w="100"/>
              <w:right w:type="dxa" w:w="120"/>
            </w:tcMar>
            <w:vAlign w:val="top"/>
          </w:tcPr>
          <w:p>
            <w:r>
              <w:rPr>
                <w:b w:val="false"/>
                <w:bCs w:val="false"/>
              </w:rPr>
              <w:t xml:space="preserve">• Despliegue: el código se sube al repositorio de GitHub y se conecta a Vercel, que publica automáticamente una aplicación web pública. La consulta a la librería de datos se ejecuta en una función de servidor (API route) alojada en Vercel; la página web llama a esa función y muestra los resultados, sin que el usuario final tenga que hacer nada de programación.</w:t>
            </w:r>
          </w:p>
        </w:tc>
        <w:tc>
          <w:tcPr>
            <w:tcW w:type="dxa" w:w="4675"/>
            <w:tcMar>
              <w:top w:type="dxa" w:w="100"/>
              <w:left w:type="dxa" w:w="120"/>
              <w:bottom w:type="dxa" w:w="100"/>
              <w:right w:type="dxa" w:w="120"/>
            </w:tcMar>
            <w:vAlign w:val="top"/>
          </w:tcPr>
          <w:p>
            <w:r>
              <w:rPr>
                <w:b w:val="false"/>
                <w:bCs w:val="false"/>
              </w:rPr>
              <w:t xml:space="preserve">• Deployment: the code is pushed to the GitHub repository and connected to Vercel, which automatically publishes a public web application. The data library query runs in a server function (API route) hosted on Vercel; the web page calls that function and shows the results, with no programming required from the end user.</w:t>
            </w:r>
          </w:p>
        </w:tc>
      </w:tr>
      <w:tr>
        <w:tc>
          <w:tcPr>
            <w:tcW w:type="dxa" w:w="4675"/>
            <w:tcMar>
              <w:top w:type="dxa" w:w="100"/>
              <w:left w:type="dxa" w:w="120"/>
              <w:bottom w:type="dxa" w:w="100"/>
              <w:right w:type="dxa" w:w="120"/>
            </w:tcMar>
            <w:vAlign w:val="top"/>
          </w:tcPr>
          <w:p>
            <w:r>
              <w:rPr>
                <w:b w:val="false"/>
                <w:bCs w:val="false"/>
              </w:rPr>
              <w:t xml:space="preserve">• Interfaz web: un selector para elegir uno de los 30 tickers y un botón para calcular su variación porcentual diaria; un botón para ejecutar la selección completa de los 5 valores sobre la ventana de 20 días; y un botón "¿Qué hace esta aplicación?" que muestra este mismo documento de especificaciones dentro de la propia web (leído directamente del repositorio y convertido a texto).</w:t>
            </w:r>
          </w:p>
        </w:tc>
        <w:tc>
          <w:tcPr>
            <w:tcW w:type="dxa" w:w="4675"/>
            <w:tcMar>
              <w:top w:type="dxa" w:w="100"/>
              <w:left w:type="dxa" w:w="120"/>
              <w:bottom w:type="dxa" w:w="100"/>
              <w:right w:type="dxa" w:w="120"/>
            </w:tcMar>
            <w:vAlign w:val="top"/>
          </w:tcPr>
          <w:p>
            <w:r>
              <w:rPr>
                <w:b w:val="false"/>
                <w:bCs w:val="false"/>
              </w:rPr>
              <w:t xml:space="preserve">• Web interface: a selector to pick one of the 30 tickers and a button to calculate its daily percentage change; a button to run the full selection of the 5 stocks over the 20-day window; and a "What does this app do?" button that shows this same specifications document inside the web app itself (read directly from the repository and converted to text).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3. Alcance y principios metodológicos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3. Scope and methodological principles</w:t>
            </w:r>
          </w:p>
        </w:tc>
      </w:tr>
      <w:tr>
        <w:tc>
          <w:tcPr>
            <w:tcW w:type="dxa" w:w="4675"/>
            <w:tcMar>
              <w:top w:type="dxa" w:w="100"/>
              <w:left w:type="dxa" w:w="120"/>
              <w:bottom w:type="dxa" w:w="100"/>
              <w:right w:type="dxa" w:w="120"/>
            </w:tcMar>
            <w:vAlign w:val="top"/>
          </w:tcPr>
          <w:p>
            <w:r>
              <w:rPr>
                <w:b w:val="false"/>
                <w:bCs w:val="false"/>
              </w:rPr>
              <w:t xml:space="preserve">• Modelo basado exclusivamente en cotización (precio) y volumen de negociación de cada componente — análisis técnico, sin datos fundamentales de las empresas.</w:t>
            </w:r>
          </w:p>
        </w:tc>
        <w:tc>
          <w:tcPr>
            <w:tcW w:type="dxa" w:w="4675"/>
            <w:tcMar>
              <w:top w:type="dxa" w:w="100"/>
              <w:left w:type="dxa" w:w="120"/>
              <w:bottom w:type="dxa" w:w="100"/>
              <w:right w:type="dxa" w:w="120"/>
            </w:tcMar>
            <w:vAlign w:val="top"/>
          </w:tcPr>
          <w:p>
            <w:r>
              <w:rPr>
                <w:b w:val="false"/>
                <w:bCs w:val="false"/>
              </w:rPr>
              <w:t xml:space="preserve">• Model based exclusively on price and trading volume of each component — technical analysis, no company fundamentals.</w:t>
            </w:r>
          </w:p>
        </w:tc>
      </w:tr>
      <w:tr>
        <w:tc>
          <w:tcPr>
            <w:tcW w:type="dxa" w:w="4675"/>
            <w:tcMar>
              <w:top w:type="dxa" w:w="100"/>
              <w:left w:type="dxa" w:w="120"/>
              <w:bottom w:type="dxa" w:w="100"/>
              <w:right w:type="dxa" w:w="120"/>
            </w:tcMar>
            <w:vAlign w:val="top"/>
          </w:tcPr>
          <w:p>
            <w:r>
              <w:rPr>
                <w:b w:val="false"/>
                <w:bCs w:val="false"/>
              </w:rPr>
              <w:t xml:space="preserve">• Principio seguido en todo el proyecto: evitar el sesgo de anticipación (look-ahead bias). Cualquier decisión se toma solo con información disponible el día anterior; el indicador de rendimiento real es el “beneficio sin cambio” de la cartera anterior, no el de la recién seleccionada (ver sección 12).</w:t>
            </w:r>
          </w:p>
        </w:tc>
        <w:tc>
          <w:tcPr>
            <w:tcW w:type="dxa" w:w="4675"/>
            <w:tcMar>
              <w:top w:type="dxa" w:w="100"/>
              <w:left w:type="dxa" w:w="120"/>
              <w:bottom w:type="dxa" w:w="100"/>
              <w:right w:type="dxa" w:w="120"/>
            </w:tcMar>
            <w:vAlign w:val="top"/>
          </w:tcPr>
          <w:p>
            <w:r>
              <w:rPr>
                <w:b w:val="false"/>
                <w:bCs w:val="false"/>
              </w:rPr>
              <w:t xml:space="preserve">• Principle followed throughout the project: avoid look-ahead bias. Every decision is made using only information available the day before; the real performance indicator is the previous portfolio's “return with no change”, not that of the just-selected one (see section 12).</w:t>
            </w:r>
          </w:p>
        </w:tc>
      </w:tr>
      <w:tr>
        <w:tc>
          <w:tcPr>
            <w:tcW w:type="dxa" w:w="4675"/>
            <w:tcMar>
              <w:top w:type="dxa" w:w="100"/>
              <w:left w:type="dxa" w:w="120"/>
              <w:bottom w:type="dxa" w:w="100"/>
              <w:right w:type="dxa" w:w="120"/>
            </w:tcMar>
            <w:vAlign w:val="top"/>
          </w:tcPr>
          <w:p>
            <w:r>
              <w:rPr>
                <w:b w:val="false"/>
                <w:bCs w:val="false"/>
              </w:rPr>
              <w:t xml:space="preserve">• El modelo es deliberadamente auditable: cada regla es explícita y trazable. Se ha descartado a propósito construir un modelo de aprendizaje automático propio (tipo red neuronal o perceptrón) — ver sección 20.</w:t>
            </w:r>
          </w:p>
        </w:tc>
        <w:tc>
          <w:tcPr>
            <w:tcW w:type="dxa" w:w="4675"/>
            <w:tcMar>
              <w:top w:type="dxa" w:w="100"/>
              <w:left w:type="dxa" w:w="120"/>
              <w:bottom w:type="dxa" w:w="100"/>
              <w:right w:type="dxa" w:w="120"/>
            </w:tcMar>
            <w:vAlign w:val="top"/>
          </w:tcPr>
          <w:p>
            <w:r>
              <w:rPr>
                <w:b w:val="false"/>
                <w:bCs w:val="false"/>
              </w:rPr>
              <w:t xml:space="preserve">• The model is deliberately auditable: every rule is explicit and traceable. Building a custom machine-learning model (a neural net or perceptron) was deliberately ruled out — see section 20.</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4. Universo de inversión</w:t>
            </w:r>
          </w:p>
        </w:tc>
        <w:tc>
          <w:tcPr>
            <w:tcW w:type="dxa" w:w="4675"/>
            <w:shd w:fill="D9E2F3" w:val="clear"/>
            <w:tcMar>
              <w:top w:type="dxa" w:w="100"/>
              <w:left w:type="dxa" w:w="120"/>
              <w:bottom w:type="dxa" w:w="100"/>
              <w:right w:type="dxa" w:w="120"/>
            </w:tcMar>
            <w:vAlign w:val="top"/>
          </w:tcPr>
          <w:p>
            <w:r>
              <w:rPr>
                <w:b/>
                <w:bCs/>
                <w:color w:val="1F3864"/>
                <w:sz w:val="26"/>
                <w:szCs w:val="26"/>
              </w:rPr>
              <w:t xml:space="preserve">4. Investment universe</w:t>
            </w:r>
          </w:p>
        </w:tc>
      </w:tr>
      <w:tr>
        <w:tc>
          <w:tcPr>
            <w:tcW w:type="dxa" w:w="4675"/>
            <w:tcMar>
              <w:top w:type="dxa" w:w="100"/>
              <w:left w:type="dxa" w:w="120"/>
              <w:bottom w:type="dxa" w:w="100"/>
              <w:right w:type="dxa" w:w="120"/>
            </w:tcMar>
            <w:vAlign w:val="top"/>
          </w:tcPr>
          <w:p>
            <w:r>
              <w:rPr>
                <w:b w:val="false"/>
                <w:bCs w:val="false"/>
              </w:rPr>
              <w:t xml:space="preserve">• Los 30 componentes del índice Dow Jones Industrial Average (lista de tickers en lib/motor.js).</w:t>
            </w:r>
          </w:p>
        </w:tc>
        <w:tc>
          <w:tcPr>
            <w:tcW w:type="dxa" w:w="4675"/>
            <w:tcMar>
              <w:top w:type="dxa" w:w="100"/>
              <w:left w:type="dxa" w:w="120"/>
              <w:bottom w:type="dxa" w:w="100"/>
              <w:right w:type="dxa" w:w="120"/>
            </w:tcMar>
            <w:vAlign w:val="top"/>
          </w:tcPr>
          <w:p>
            <w:r>
              <w:rPr>
                <w:b w:val="false"/>
                <w:bCs w:val="false"/>
              </w:rPr>
              <w:t xml:space="preserve">• The 30 components of the Dow Jones Industrial Average (ticker list in lib/motor.js).</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5. Criterio de puntuación</w:t>
            </w:r>
          </w:p>
        </w:tc>
        <w:tc>
          <w:tcPr>
            <w:tcW w:type="dxa" w:w="4675"/>
            <w:shd w:fill="D9E2F3" w:val="clear"/>
            <w:tcMar>
              <w:top w:type="dxa" w:w="100"/>
              <w:left w:type="dxa" w:w="120"/>
              <w:bottom w:type="dxa" w:w="100"/>
              <w:right w:type="dxa" w:w="120"/>
            </w:tcMar>
            <w:vAlign w:val="top"/>
          </w:tcPr>
          <w:p>
            <w:r>
              <w:rPr>
                <w:b/>
                <w:bCs/>
                <w:color w:val="1F3864"/>
                <w:sz w:val="26"/>
                <w:szCs w:val="26"/>
              </w:rPr>
              <w:t xml:space="preserve">5. Scoring criterion</w:t>
            </w:r>
          </w:p>
        </w:tc>
      </w:tr>
      <w:tr>
        <w:tc>
          <w:tcPr>
            <w:tcW w:type="dxa" w:w="4675"/>
            <w:tcMar>
              <w:top w:type="dxa" w:w="100"/>
              <w:left w:type="dxa" w:w="120"/>
              <w:bottom w:type="dxa" w:w="100"/>
              <w:right w:type="dxa" w:w="120"/>
            </w:tcMar>
            <w:vAlign w:val="top"/>
          </w:tcPr>
          <w:p>
            <w:r>
              <w:rPr>
                <w:b w:val="false"/>
                <w:bCs w:val="false"/>
              </w:rPr>
              <w:t xml:space="preserve">• Puntuación de un valor en un día = suma de los incrementos de las últimas 3 sesiones (SESIONES_PUNTUACION), sobre el criterio elegido.</w:t>
            </w:r>
          </w:p>
        </w:tc>
        <w:tc>
          <w:tcPr>
            <w:tcW w:type="dxa" w:w="4675"/>
            <w:tcMar>
              <w:top w:type="dxa" w:w="100"/>
              <w:left w:type="dxa" w:w="120"/>
              <w:bottom w:type="dxa" w:w="100"/>
              <w:right w:type="dxa" w:w="120"/>
            </w:tcMar>
            <w:vAlign w:val="top"/>
          </w:tcPr>
          <w:p>
            <w:r>
              <w:rPr>
                <w:b w:val="false"/>
                <w:bCs w:val="false"/>
              </w:rPr>
              <w:t xml:space="preserve">• A stock's score on a given day = sum of the changes over the last 3 sessions (SESIONES_PUNTUACION), on the chosen criterion.</w:t>
            </w:r>
          </w:p>
        </w:tc>
      </w:tr>
      <w:tr>
        <w:tc>
          <w:tcPr>
            <w:tcW w:type="dxa" w:w="4675"/>
            <w:tcMar>
              <w:top w:type="dxa" w:w="100"/>
              <w:left w:type="dxa" w:w="120"/>
              <w:bottom w:type="dxa" w:w="100"/>
              <w:right w:type="dxa" w:w="120"/>
            </w:tcMar>
            <w:vAlign w:val="top"/>
          </w:tcPr>
          <w:p>
            <w:r>
              <w:rPr>
                <w:b w:val="false"/>
                <w:bCs w:val="false"/>
              </w:rPr>
              <w:t xml:space="preserve">• Cuatro criterios disponibles: precio (variación de cotización), volumen (variación del volumen negociado), flujo de dinero (variación del producto precio×volumen — pondera el volumen por la dirección del movimiento de precio, a diferencia del volumen puro), y aleatorio (puntuación pseudoaleatoria determinista con semilla fija, sirve de referencia/control).</w:t>
            </w:r>
          </w:p>
        </w:tc>
        <w:tc>
          <w:tcPr>
            <w:tcW w:type="dxa" w:w="4675"/>
            <w:tcMar>
              <w:top w:type="dxa" w:w="100"/>
              <w:left w:type="dxa" w:w="120"/>
              <w:bottom w:type="dxa" w:w="100"/>
              <w:right w:type="dxa" w:w="120"/>
            </w:tcMar>
            <w:vAlign w:val="top"/>
          </w:tcPr>
          <w:p>
            <w:r>
              <w:rPr>
                <w:b w:val="false"/>
                <w:bCs w:val="false"/>
              </w:rPr>
              <w:t xml:space="preserve">• Four criteria available: price (price change), volume (trading-volume change), money flow (change in the price×volume product — weights volume by the direction of the price move, unlike raw volume), and random (deterministic pseudo-random score with a fixed seed, used as a reference/control).</w:t>
            </w:r>
          </w:p>
        </w:tc>
      </w:tr>
      <w:tr>
        <w:tc>
          <w:tcPr>
            <w:tcW w:type="dxa" w:w="4675"/>
            <w:tcMar>
              <w:top w:type="dxa" w:w="100"/>
              <w:left w:type="dxa" w:w="120"/>
              <w:bottom w:type="dxa" w:w="100"/>
              <w:right w:type="dxa" w:w="120"/>
            </w:tcMar>
            <w:vAlign w:val="top"/>
          </w:tcPr>
          <w:p>
            <w:r>
              <w:rPr>
                <w:b w:val="false"/>
                <w:bCs w:val="false"/>
              </w:rPr>
              <w:t xml:space="preserve">• El criterio elegido solo decide QUÉ valores entran y permanecen; el peso y el beneficio de la cartera se calculan siempre con el precio, sea cual sea el criterio.</w:t>
            </w:r>
          </w:p>
        </w:tc>
        <w:tc>
          <w:tcPr>
            <w:tcW w:type="dxa" w:w="4675"/>
            <w:tcMar>
              <w:top w:type="dxa" w:w="100"/>
              <w:left w:type="dxa" w:w="120"/>
              <w:bottom w:type="dxa" w:w="100"/>
              <w:right w:type="dxa" w:w="120"/>
            </w:tcMar>
            <w:vAlign w:val="top"/>
          </w:tcPr>
          <w:p>
            <w:r>
              <w:rPr>
                <w:b w:val="false"/>
                <w:bCs w:val="false"/>
              </w:rPr>
              <w:t xml:space="preserve">• The chosen criterion only decides WHICH stocks enter and stay; the portfolio's weight and return are always calculated using price, regardless of the criterion.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6. Selección inicial y pesos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6. Initial selection and weights</w:t>
            </w:r>
          </w:p>
        </w:tc>
      </w:tr>
      <w:tr>
        <w:tc>
          <w:tcPr>
            <w:tcW w:type="dxa" w:w="4675"/>
            <w:tcMar>
              <w:top w:type="dxa" w:w="100"/>
              <w:left w:type="dxa" w:w="120"/>
              <w:bottom w:type="dxa" w:w="100"/>
              <w:right w:type="dxa" w:w="120"/>
            </w:tcMar>
            <w:vAlign w:val="top"/>
          </w:tcPr>
          <w:p>
            <w:r>
              <w:rPr>
                <w:b w:val="false"/>
                <w:bCs w:val="false"/>
              </w:rPr>
              <w:t xml:space="preserve">• Se seleccionan los N valores (3 a 6, 5 por defecto) con mayor puntuación ese día.</w:t>
            </w:r>
          </w:p>
        </w:tc>
        <w:tc>
          <w:tcPr>
            <w:tcW w:type="dxa" w:w="4675"/>
            <w:tcMar>
              <w:top w:type="dxa" w:w="100"/>
              <w:left w:type="dxa" w:w="120"/>
              <w:bottom w:type="dxa" w:w="100"/>
              <w:right w:type="dxa" w:w="120"/>
            </w:tcMar>
            <w:vAlign w:val="top"/>
          </w:tcPr>
          <w:p>
            <w:r>
              <w:rPr>
                <w:b w:val="false"/>
                <w:bCs w:val="false"/>
              </w:rPr>
              <w:t xml:space="preserve">• The N stocks (3 to 6, 5 by default) with the highest score that day are selected.</w:t>
            </w:r>
          </w:p>
        </w:tc>
      </w:tr>
      <w:tr>
        <w:tc>
          <w:tcPr>
            <w:tcW w:type="dxa" w:w="4675"/>
            <w:tcMar>
              <w:top w:type="dxa" w:w="100"/>
              <w:left w:type="dxa" w:w="120"/>
              <w:bottom w:type="dxa" w:w="100"/>
              <w:right w:type="dxa" w:w="120"/>
            </w:tcMar>
            <w:vAlign w:val="top"/>
          </w:tcPr>
          <w:p>
            <w:r>
              <w:rPr>
                <w:b w:val="false"/>
                <w:bCs w:val="false"/>
              </w:rPr>
              <w:t xml:space="preserve">• Peso inicial: 100% dividido entre N, a partes iguales.</w:t>
            </w:r>
          </w:p>
        </w:tc>
        <w:tc>
          <w:tcPr>
            <w:tcW w:type="dxa" w:w="4675"/>
            <w:tcMar>
              <w:top w:type="dxa" w:w="100"/>
              <w:left w:type="dxa" w:w="120"/>
              <w:bottom w:type="dxa" w:w="100"/>
              <w:right w:type="dxa" w:w="120"/>
            </w:tcMar>
            <w:vAlign w:val="top"/>
          </w:tcPr>
          <w:p>
            <w:r>
              <w:rPr>
                <w:b w:val="false"/>
                <w:bCs w:val="false"/>
              </w:rPr>
              <w:t xml:space="preserve">• Initial weight: 100% divided by N, in equal parts.</w:t>
            </w:r>
          </w:p>
        </w:tc>
      </w:tr>
      <w:tr>
        <w:tc>
          <w:tcPr>
            <w:tcW w:type="dxa" w:w="4675"/>
            <w:tcMar>
              <w:top w:type="dxa" w:w="100"/>
              <w:left w:type="dxa" w:w="120"/>
              <w:bottom w:type="dxa" w:w="100"/>
              <w:right w:type="dxa" w:w="120"/>
            </w:tcMar>
            <w:vAlign w:val="top"/>
          </w:tcPr>
          <w:p>
            <w:r>
              <w:rPr>
                <w:b w:val="false"/>
                <w:bCs w:val="false"/>
              </w:rPr>
              <w:t xml:space="preserve">• Tope máximo de peso por componente (40% por defecto, configurable y optimizable) para asegurar una diversificación mínima.</w:t>
            </w:r>
          </w:p>
        </w:tc>
        <w:tc>
          <w:tcPr>
            <w:tcW w:type="dxa" w:w="4675"/>
            <w:tcMar>
              <w:top w:type="dxa" w:w="100"/>
              <w:left w:type="dxa" w:w="120"/>
              <w:bottom w:type="dxa" w:w="100"/>
              <w:right w:type="dxa" w:w="120"/>
            </w:tcMar>
            <w:vAlign w:val="top"/>
          </w:tcPr>
          <w:p>
            <w:r>
              <w:rPr>
                <w:b w:val="false"/>
                <w:bCs w:val="false"/>
              </w:rPr>
              <w:t xml:space="preserve">• Maximum weight cap per component (40% by default, configurable and optimizable) to ensure minimum diversification.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7. Reglas de rebalanceo</w:t>
            </w:r>
          </w:p>
        </w:tc>
        <w:tc>
          <w:tcPr>
            <w:tcW w:type="dxa" w:w="4675"/>
            <w:shd w:fill="D9E2F3" w:val="clear"/>
            <w:tcMar>
              <w:top w:type="dxa" w:w="100"/>
              <w:left w:type="dxa" w:w="120"/>
              <w:bottom w:type="dxa" w:w="100"/>
              <w:right w:type="dxa" w:w="120"/>
            </w:tcMar>
            <w:vAlign w:val="top"/>
          </w:tcPr>
          <w:p>
            <w:r>
              <w:rPr>
                <w:b/>
                <w:bCs/>
                <w:color w:val="1F3864"/>
                <w:sz w:val="26"/>
                <w:szCs w:val="26"/>
              </w:rPr>
              <w:t xml:space="preserve">7. Rebalancing rules</w:t>
            </w:r>
          </w:p>
        </w:tc>
      </w:tr>
      <w:tr>
        <w:tc>
          <w:tcPr>
            <w:tcW w:type="dxa" w:w="4675"/>
            <w:tcMar>
              <w:top w:type="dxa" w:w="100"/>
              <w:left w:type="dxa" w:w="120"/>
              <w:bottom w:type="dxa" w:w="100"/>
              <w:right w:type="dxa" w:w="120"/>
            </w:tcMar>
            <w:vAlign w:val="top"/>
          </w:tcPr>
          <w:p>
            <w:r>
              <w:rPr>
                <w:b w:val="false"/>
                <w:bCs w:val="false"/>
              </w:rPr>
              <w:t xml:space="preserve">• Cada vez que toca rebalancear (ver sección 9) se recalcula el ranking y se compara con la cartera actual: los que ya estaban y siguen en el top-N permanecen; los que salen del top-N liberan su peso (salvo protección); los huecos se cubren con los siguientes del ranking.</w:t>
            </w:r>
          </w:p>
        </w:tc>
        <w:tc>
          <w:tcPr>
            <w:tcW w:type="dxa" w:w="4675"/>
            <w:tcMar>
              <w:top w:type="dxa" w:w="100"/>
              <w:left w:type="dxa" w:w="120"/>
              <w:bottom w:type="dxa" w:w="100"/>
              <w:right w:type="dxa" w:w="120"/>
            </w:tcMar>
            <w:vAlign w:val="top"/>
          </w:tcPr>
          <w:p>
            <w:r>
              <w:rPr>
                <w:b w:val="false"/>
                <w:bCs w:val="false"/>
              </w:rPr>
              <w:t xml:space="preserve">• Whenever a rebalance is triggered (see section 9), the ranking is recalculated and compared with the current portfolio: those already in and still in the top-N stay; those that drop out of the top-N free up their weight (unless protected); the gaps are filled by the next-ranked stocks.</w:t>
            </w:r>
          </w:p>
        </w:tc>
      </w:tr>
      <w:tr>
        <w:tc>
          <w:tcPr>
            <w:tcW w:type="dxa" w:w="4675"/>
            <w:tcMar>
              <w:top w:type="dxa" w:w="100"/>
              <w:left w:type="dxa" w:w="120"/>
              <w:bottom w:type="dxa" w:w="100"/>
              <w:right w:type="dxa" w:w="120"/>
            </w:tcMar>
            <w:vAlign w:val="top"/>
          </w:tcPr>
          <w:p>
            <w:r>
              <w:rPr>
                <w:b w:val="false"/>
                <w:bCs w:val="false"/>
              </w:rPr>
              <w:t xml:space="preserve">• Protección: un componente con más del 20% de peso no sale de la cartera aunque caiga del top-N, pero se le aplica una penalización (su incremento negativo de la sesión × factor de penalización, 2 por defecto y optimizable) que reduce su peso.</w:t>
            </w:r>
          </w:p>
        </w:tc>
        <w:tc>
          <w:tcPr>
            <w:tcW w:type="dxa" w:w="4675"/>
            <w:tcMar>
              <w:top w:type="dxa" w:w="100"/>
              <w:left w:type="dxa" w:w="120"/>
              <w:bottom w:type="dxa" w:w="100"/>
              <w:right w:type="dxa" w:w="120"/>
            </w:tcMar>
            <w:vAlign w:val="top"/>
          </w:tcPr>
          <w:p>
            <w:r>
              <w:rPr>
                <w:b w:val="false"/>
                <w:bCs w:val="false"/>
              </w:rPr>
              <w:t xml:space="preserve">• Protection: a component with more than 20% weight does not leave the portfolio even if it drops out of the top-N, but it is penalized (that session's negative price change × penalty factor, default 2 and optimizable), which reduces its weight.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8. Reparto del peso liberado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8. Distribution of freed-up weight</w:t>
            </w:r>
          </w:p>
        </w:tc>
      </w:tr>
      <w:tr>
        <w:tc>
          <w:tcPr>
            <w:tcW w:type="dxa" w:w="4675"/>
            <w:tcMar>
              <w:top w:type="dxa" w:w="100"/>
              <w:left w:type="dxa" w:w="120"/>
              <w:bottom w:type="dxa" w:w="100"/>
              <w:right w:type="dxa" w:w="120"/>
            </w:tcMar>
            <w:vAlign w:val="top"/>
          </w:tcPr>
          <w:p>
            <w:r>
              <w:rPr>
                <w:b w:val="false"/>
                <w:bCs w:val="false"/>
              </w:rPr>
              <w:t xml:space="preserve">• El peso liberado (por salidas + penalización de protegidos) se reparte a partes iguales, en un único paso, entre TODOS los componentes no protegidos de la nueva cartera (los que permanecen + los que entran).</w:t>
            </w:r>
          </w:p>
        </w:tc>
        <w:tc>
          <w:tcPr>
            <w:tcW w:type="dxa" w:w="4675"/>
            <w:tcMar>
              <w:top w:type="dxa" w:w="100"/>
              <w:left w:type="dxa" w:w="120"/>
              <w:bottom w:type="dxa" w:w="100"/>
              <w:right w:type="dxa" w:w="120"/>
            </w:tcMar>
            <w:vAlign w:val="top"/>
          </w:tcPr>
          <w:p>
            <w:r>
              <w:rPr>
                <w:b w:val="false"/>
                <w:bCs w:val="false"/>
              </w:rPr>
              <w:t xml:space="preserve">• The freed-up weight (from exits + protected-component penalties) is split equally, in a single step, among ALL non-protected components of the new portfolio (those that stay + those that enter).</w:t>
            </w:r>
          </w:p>
        </w:tc>
      </w:tr>
      <w:tr>
        <w:tc>
          <w:tcPr>
            <w:tcW w:type="dxa" w:w="4675"/>
            <w:tcMar>
              <w:top w:type="dxa" w:w="100"/>
              <w:left w:type="dxa" w:w="120"/>
              <w:bottom w:type="dxa" w:w="100"/>
              <w:right w:type="dxa" w:w="120"/>
            </w:tcMar>
            <w:vAlign w:val="top"/>
          </w:tcPr>
          <w:p>
            <w:r>
              <w:rPr>
                <w:b w:val="false"/>
                <w:bCs w:val="false"/>
              </w:rPr>
              <w:t xml:space="preserve">• Es el único método vigente. Se probó comparar con un reparto “proporcional” a la puntuación y con un reparto “libre” (con sesgo de anticipación, descartado), y se abandonó la comparación: en las pruebas no aportaba mejora relevante frente al reparto fijo, que además es mucho más fácil de auditar.</w:t>
            </w:r>
          </w:p>
        </w:tc>
        <w:tc>
          <w:tcPr>
            <w:tcW w:type="dxa" w:w="4675"/>
            <w:tcMar>
              <w:top w:type="dxa" w:w="100"/>
              <w:left w:type="dxa" w:w="120"/>
              <w:bottom w:type="dxa" w:w="100"/>
              <w:right w:type="dxa" w:w="120"/>
            </w:tcMar>
            <w:vAlign w:val="top"/>
          </w:tcPr>
          <w:p>
            <w:r>
              <w:rPr>
                <w:b w:val="false"/>
                <w:bCs w:val="false"/>
              </w:rPr>
              <w:t xml:space="preserve">• It is the only method currently in use. Comparing it with a “proportional” (score-weighted) distribution and a “free” distribution (with look-ahead bias, discarded) was tried and then dropped: in testing it added no meaningful improvement over the fixed distribution, which is also far easier to audit.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9. Frecuencia de rebalanceo</w:t>
            </w:r>
          </w:p>
        </w:tc>
        <w:tc>
          <w:tcPr>
            <w:tcW w:type="dxa" w:w="4675"/>
            <w:shd w:fill="D9E2F3" w:val="clear"/>
            <w:tcMar>
              <w:top w:type="dxa" w:w="100"/>
              <w:left w:type="dxa" w:w="120"/>
              <w:bottom w:type="dxa" w:w="100"/>
              <w:right w:type="dxa" w:w="120"/>
            </w:tcMar>
            <w:vAlign w:val="top"/>
          </w:tcPr>
          <w:p>
            <w:r>
              <w:rPr>
                <w:b/>
                <w:bCs/>
                <w:color w:val="1F3864"/>
                <w:sz w:val="26"/>
                <w:szCs w:val="26"/>
              </w:rPr>
              <w:t xml:space="preserve">9. Rebalancing frequency</w:t>
            </w:r>
          </w:p>
        </w:tc>
      </w:tr>
      <w:tr>
        <w:tc>
          <w:tcPr>
            <w:tcW w:type="dxa" w:w="4675"/>
            <w:tcMar>
              <w:top w:type="dxa" w:w="100"/>
              <w:left w:type="dxa" w:w="120"/>
              <w:bottom w:type="dxa" w:w="100"/>
              <w:right w:type="dxa" w:w="120"/>
            </w:tcMar>
            <w:vAlign w:val="top"/>
          </w:tcPr>
          <w:p>
            <w:r>
              <w:rPr>
                <w:b w:val="false"/>
                <w:bCs w:val="false"/>
              </w:rPr>
              <w:t xml:space="preserve">• Por defecto, “diario”: se rebalancea todos los días, con el coste de fricción (comisiones de compra/venta) que eso implica en la práctica.</w:t>
            </w:r>
          </w:p>
        </w:tc>
        <w:tc>
          <w:tcPr>
            <w:tcW w:type="dxa" w:w="4675"/>
            <w:tcMar>
              <w:top w:type="dxa" w:w="100"/>
              <w:left w:type="dxa" w:w="120"/>
              <w:bottom w:type="dxa" w:w="100"/>
              <w:right w:type="dxa" w:w="120"/>
            </w:tcMar>
            <w:vAlign w:val="top"/>
          </w:tcPr>
          <w:p>
            <w:r>
              <w:rPr>
                <w:b w:val="false"/>
                <w:bCs w:val="false"/>
              </w:rPr>
              <w:t xml:space="preserve">• Default: “daily” — rebalances every day, with the friction cost (buy/sell commissions) that implies in practice.</w:t>
            </w:r>
          </w:p>
        </w:tc>
      </w:tr>
      <w:tr>
        <w:tc>
          <w:tcPr>
            <w:tcW w:type="dxa" w:w="4675"/>
            <w:tcMar>
              <w:top w:type="dxa" w:w="100"/>
              <w:left w:type="dxa" w:w="120"/>
              <w:bottom w:type="dxa" w:w="100"/>
              <w:right w:type="dxa" w:w="120"/>
            </w:tcMar>
            <w:vAlign w:val="top"/>
          </w:tcPr>
          <w:p>
            <w:r>
              <w:rPr>
                <w:b w:val="false"/>
                <w:bCs w:val="false"/>
              </w:rPr>
              <w:t xml:space="preserve">• Alternativa configurable y optimizable: rebalancear solo cuando, de los componentes actuales, sobreviven K o menos en el nuevo top-N (K entre 0 y N−1). Mientras sobrevivan más, la cartera se mantiene fija y los pesos derivan solos con la cotización (sin operar, sin coste). Un protegido que ha caído del top-N no cuenta como superviviente a este efecto.</w:t>
            </w:r>
          </w:p>
        </w:tc>
        <w:tc>
          <w:tcPr>
            <w:tcW w:type="dxa" w:w="4675"/>
            <w:tcMar>
              <w:top w:type="dxa" w:w="100"/>
              <w:left w:type="dxa" w:w="120"/>
              <w:bottom w:type="dxa" w:w="100"/>
              <w:right w:type="dxa" w:w="120"/>
            </w:tcMar>
            <w:vAlign w:val="top"/>
          </w:tcPr>
          <w:p>
            <w:r>
              <w:rPr>
                <w:b w:val="false"/>
                <w:bCs w:val="false"/>
              </w:rPr>
              <w:t xml:space="preserve">• Configurable and optimizable alternative: only rebalance when, of the current components, K or fewer survive in the new top-N (K between 0 and N−1). While more survive, the portfolio stays fixed and weights simply drift with price (no trading, no cost). A protected component that has dropped out of the top-N does not count as a survivor for this purpose.</w:t>
            </w:r>
          </w:p>
        </w:tc>
      </w:tr>
      <w:tr>
        <w:tc>
          <w:tcPr>
            <w:tcW w:type="dxa" w:w="4675"/>
            <w:tcMar>
              <w:top w:type="dxa" w:w="100"/>
              <w:left w:type="dxa" w:w="120"/>
              <w:bottom w:type="dxa" w:w="100"/>
              <w:right w:type="dxa" w:w="120"/>
            </w:tcMar>
            <w:vAlign w:val="top"/>
          </w:tcPr>
          <w:p>
            <w:r>
              <w:rPr>
                <w:b w:val="false"/>
                <w:bCs w:val="false"/>
              </w:rPr>
              <w:t xml:space="preserve">• Valor especial “nunca” (uso interno): la cartera se mantiene fija indefinidamente. Lo usa la selección por “veces seleccionado” (sección 17) para simular el resultado de mantener una cartera elegida de antemano, sin tocarla.</w:t>
            </w:r>
          </w:p>
        </w:tc>
        <w:tc>
          <w:tcPr>
            <w:tcW w:type="dxa" w:w="4675"/>
            <w:tcMar>
              <w:top w:type="dxa" w:w="100"/>
              <w:left w:type="dxa" w:w="120"/>
              <w:bottom w:type="dxa" w:w="100"/>
              <w:right w:type="dxa" w:w="120"/>
            </w:tcMar>
            <w:vAlign w:val="top"/>
          </w:tcPr>
          <w:p>
            <w:r>
              <w:rPr>
                <w:b w:val="false"/>
                <w:bCs w:val="false"/>
              </w:rPr>
              <w:t xml:space="preserve">• Special “never” value (internal use): the portfolio stays fixed indefinitely. Used by the “times selected” selection (section 17) to simulate holding a portfolio chosen in advance, untouched.</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10. Contador “veces seleccionado”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10. “Times selected” counter</w:t>
            </w:r>
          </w:p>
        </w:tc>
      </w:tr>
      <w:tr>
        <w:tc>
          <w:tcPr>
            <w:tcW w:type="dxa" w:w="4675"/>
            <w:tcMar>
              <w:top w:type="dxa" w:w="100"/>
              <w:left w:type="dxa" w:w="120"/>
              <w:bottom w:type="dxa" w:w="100"/>
              <w:right w:type="dxa" w:w="120"/>
            </w:tcMar>
            <w:vAlign w:val="top"/>
          </w:tcPr>
          <w:p>
            <w:r>
              <w:rPr>
                <w:b w:val="false"/>
                <w:bCs w:val="false"/>
              </w:rPr>
              <w:t xml:space="preserve">• Contador acumulado (no racha) de los días que cada valor ha estado en cartera, entrando o permaneciendo; no se reinicia si el valor sale y vuelve a entrar más tarde.</w:t>
            </w:r>
          </w:p>
        </w:tc>
        <w:tc>
          <w:tcPr>
            <w:tcW w:type="dxa" w:w="4675"/>
            <w:tcMar>
              <w:top w:type="dxa" w:w="100"/>
              <w:left w:type="dxa" w:w="120"/>
              <w:bottom w:type="dxa" w:w="100"/>
              <w:right w:type="dxa" w:w="120"/>
            </w:tcMar>
            <w:vAlign w:val="top"/>
          </w:tcPr>
          <w:p>
            <w:r>
              <w:rPr>
                <w:b w:val="false"/>
                <w:bCs w:val="false"/>
              </w:rPr>
              <w:t xml:space="preserve">• Cumulative counter (not a streak) of the days each stock has been in the portfolio, whether entering or staying; it does not reset if the stock leaves and re-enters later.</w:t>
            </w:r>
          </w:p>
        </w:tc>
      </w:tr>
      <w:tr>
        <w:tc>
          <w:tcPr>
            <w:tcW w:type="dxa" w:w="4675"/>
            <w:tcMar>
              <w:top w:type="dxa" w:w="100"/>
              <w:left w:type="dxa" w:w="120"/>
              <w:bottom w:type="dxa" w:w="100"/>
              <w:right w:type="dxa" w:w="120"/>
            </w:tcMar>
            <w:vAlign w:val="top"/>
          </w:tcPr>
          <w:p>
            <w:r>
              <w:rPr>
                <w:b w:val="false"/>
                <w:bCs w:val="false"/>
              </w:rPr>
              <w:t xml:space="preserve">• Se muestra como columna en las tablas de composición de cartera, y es la base de las secciones de selección por “veces seleccionado” (sección 17).</w:t>
            </w:r>
          </w:p>
        </w:tc>
        <w:tc>
          <w:tcPr>
            <w:tcW w:type="dxa" w:w="4675"/>
            <w:tcMar>
              <w:top w:type="dxa" w:w="100"/>
              <w:left w:type="dxa" w:w="120"/>
              <w:bottom w:type="dxa" w:w="100"/>
              <w:right w:type="dxa" w:w="120"/>
            </w:tcMar>
            <w:vAlign w:val="top"/>
          </w:tcPr>
          <w:p>
            <w:r>
              <w:rPr>
                <w:b w:val="false"/>
                <w:bCs w:val="false"/>
              </w:rPr>
              <w:t xml:space="preserve">• Shown as a column in the portfolio-composition tables, and is the basis for the “times selected” selection sections (section 17).</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11. Datos</w:t>
            </w:r>
          </w:p>
        </w:tc>
        <w:tc>
          <w:tcPr>
            <w:tcW w:type="dxa" w:w="4675"/>
            <w:shd w:fill="D9E2F3" w:val="clear"/>
            <w:tcMar>
              <w:top w:type="dxa" w:w="100"/>
              <w:left w:type="dxa" w:w="120"/>
              <w:bottom w:type="dxa" w:w="100"/>
              <w:right w:type="dxa" w:w="120"/>
            </w:tcMar>
            <w:vAlign w:val="top"/>
          </w:tcPr>
          <w:p>
            <w:r>
              <w:rPr>
                <w:b/>
                <w:bCs/>
                <w:color w:val="1F3864"/>
                <w:sz w:val="26"/>
                <w:szCs w:val="26"/>
              </w:rPr>
              <w:t xml:space="preserve">11. Data</w:t>
            </w:r>
          </w:p>
        </w:tc>
      </w:tr>
      <w:tr>
        <w:tc>
          <w:tcPr>
            <w:tcW w:type="dxa" w:w="4675"/>
            <w:tcMar>
              <w:top w:type="dxa" w:w="100"/>
              <w:left w:type="dxa" w:w="120"/>
              <w:bottom w:type="dxa" w:w="100"/>
              <w:right w:type="dxa" w:w="120"/>
            </w:tcMar>
            <w:vAlign w:val="top"/>
          </w:tcPr>
          <w:p>
            <w:r>
              <w:rPr>
                <w:b w:val="false"/>
                <w:bCs w:val="false"/>
              </w:rPr>
              <w:t xml:space="preserve">• Fuente: Yahoo Finance (librería yahoo-finance2) — cotización de cierre diaria y volumen de negociación de cada sesión.</w:t>
            </w:r>
          </w:p>
        </w:tc>
        <w:tc>
          <w:tcPr>
            <w:tcW w:type="dxa" w:w="4675"/>
            <w:tcMar>
              <w:top w:type="dxa" w:w="100"/>
              <w:left w:type="dxa" w:w="120"/>
              <w:bottom w:type="dxa" w:w="100"/>
              <w:right w:type="dxa" w:w="120"/>
            </w:tcMar>
            <w:vAlign w:val="top"/>
          </w:tcPr>
          <w:p>
            <w:r>
              <w:rPr>
                <w:b w:val="false"/>
                <w:bCs w:val="false"/>
              </w:rPr>
              <w:t xml:space="preserve">• Source: Yahoo Finance (yahoo-finance2 library) — daily closing price and trading volume for each session.</w:t>
            </w:r>
          </w:p>
        </w:tc>
      </w:tr>
      <w:tr>
        <w:tc>
          <w:tcPr>
            <w:tcW w:type="dxa" w:w="4675"/>
            <w:tcMar>
              <w:top w:type="dxa" w:w="100"/>
              <w:left w:type="dxa" w:w="120"/>
              <w:bottom w:type="dxa" w:w="100"/>
              <w:right w:type="dxa" w:w="120"/>
            </w:tcMar>
            <w:vAlign w:val="top"/>
          </w:tcPr>
          <w:p>
            <w:r>
              <w:rPr>
                <w:b w:val="false"/>
                <w:bCs w:val="false"/>
              </w:rPr>
              <w:t xml:space="preserve">• Ventana de descarga configurable (10, 15, 20, 30, 40 o 60 sesiones; 20 por defecto) — ver sección 14.</w:t>
            </w:r>
          </w:p>
        </w:tc>
        <w:tc>
          <w:tcPr>
            <w:tcW w:type="dxa" w:w="4675"/>
            <w:tcMar>
              <w:top w:type="dxa" w:w="100"/>
              <w:left w:type="dxa" w:w="120"/>
              <w:bottom w:type="dxa" w:w="100"/>
              <w:right w:type="dxa" w:w="120"/>
            </w:tcMar>
            <w:vAlign w:val="top"/>
          </w:tcPr>
          <w:p>
            <w:r>
              <w:rPr>
                <w:b w:val="false"/>
                <w:bCs w:val="false"/>
              </w:rPr>
              <w:t xml:space="preserve">• Configurable download window (10, 15, 20, 30, 40 or 60 sessions; 20 by default) — see section 14.</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12. Función beneficio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12. Return function</w:t>
            </w:r>
          </w:p>
        </w:tc>
      </w:tr>
      <w:tr>
        <w:tc>
          <w:tcPr>
            <w:tcW w:type="dxa" w:w="4675"/>
            <w:tcMar>
              <w:top w:type="dxa" w:w="100"/>
              <w:left w:type="dxa" w:w="120"/>
              <w:bottom w:type="dxa" w:w="100"/>
              <w:right w:type="dxa" w:w="120"/>
            </w:tcMar>
            <w:vAlign w:val="top"/>
          </w:tcPr>
          <w:p>
            <w:r>
              <w:rPr>
                <w:b w:val="false"/>
                <w:bCs w:val="false"/>
              </w:rPr>
              <w:t xml:space="preserve">• Beneficio ponderado de un día = suma, para cada componente en cartera, de (peso/100) × (cierre de hoy / cierre de ayer).</w:t>
            </w:r>
          </w:p>
        </w:tc>
        <w:tc>
          <w:tcPr>
            <w:tcW w:type="dxa" w:w="4675"/>
            <w:tcMar>
              <w:top w:type="dxa" w:w="100"/>
              <w:left w:type="dxa" w:w="120"/>
              <w:bottom w:type="dxa" w:w="100"/>
              <w:right w:type="dxa" w:w="120"/>
            </w:tcMar>
            <w:vAlign w:val="top"/>
          </w:tcPr>
          <w:p>
            <w:r>
              <w:rPr>
                <w:b w:val="false"/>
                <w:bCs w:val="false"/>
              </w:rPr>
              <w:t xml:space="preserve">• Weighted return for a day = sum, for each component in the portfolio, of (weight/100) × (today's close / yesterday's close).</w:t>
            </w:r>
          </w:p>
        </w:tc>
      </w:tr>
      <w:tr>
        <w:tc>
          <w:tcPr>
            <w:tcW w:type="dxa" w:w="4675"/>
            <w:tcMar>
              <w:top w:type="dxa" w:w="100"/>
              <w:left w:type="dxa" w:w="120"/>
              <w:bottom w:type="dxa" w:w="100"/>
              <w:right w:type="dxa" w:w="120"/>
            </w:tcMar>
            <w:vAlign w:val="top"/>
          </w:tcPr>
          <w:p>
            <w:r>
              <w:rPr>
                <w:b w:val="false"/>
                <w:bCs w:val="false"/>
              </w:rPr>
              <w:t xml:space="preserve">• “Beneficio sin cambio”: el beneficio de la cartera ANTERIOR a la decisión de hoy (la que ya estaba formada el día antes) — es la única cifra realmente alcanzable en la práctica, y la que se usa para medir y optimizar el modelo. El beneficio de la cartera recién seleccionada ese mismo día no lo es.</w:t>
            </w:r>
          </w:p>
        </w:tc>
        <w:tc>
          <w:tcPr>
            <w:tcW w:type="dxa" w:w="4675"/>
            <w:tcMar>
              <w:top w:type="dxa" w:w="100"/>
              <w:left w:type="dxa" w:w="120"/>
              <w:bottom w:type="dxa" w:w="100"/>
              <w:right w:type="dxa" w:w="120"/>
            </w:tcMar>
            <w:vAlign w:val="top"/>
          </w:tcPr>
          <w:p>
            <w:r>
              <w:rPr>
                <w:b w:val="false"/>
                <w:bCs w:val="false"/>
              </w:rPr>
              <w:t xml:space="preserve">• “Return with no change”: the return of the portfolio as it stood BEFORE today's decision (the one already formed the day before) — the only figure genuinely achievable in practice, and the one used to measure and optimize the model. The return of the just-selected portfolio that same day is not.</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13. Optimización de variables</w:t>
            </w:r>
          </w:p>
        </w:tc>
        <w:tc>
          <w:tcPr>
            <w:tcW w:type="dxa" w:w="4675"/>
            <w:shd w:fill="D9E2F3" w:val="clear"/>
            <w:tcMar>
              <w:top w:type="dxa" w:w="100"/>
              <w:left w:type="dxa" w:w="120"/>
              <w:bottom w:type="dxa" w:w="100"/>
              <w:right w:type="dxa" w:w="120"/>
            </w:tcMar>
            <w:vAlign w:val="top"/>
          </w:tcPr>
          <w:p>
            <w:r>
              <w:rPr>
                <w:b/>
                <w:bCs/>
                <w:color w:val="1F3864"/>
                <w:sz w:val="26"/>
                <w:szCs w:val="26"/>
              </w:rPr>
              <w:t xml:space="preserve">13. Variable optimization</w:t>
            </w:r>
          </w:p>
        </w:tc>
      </w:tr>
      <w:tr>
        <w:tc>
          <w:tcPr>
            <w:tcW w:type="dxa" w:w="4675"/>
            <w:tcMar>
              <w:top w:type="dxa" w:w="100"/>
              <w:left w:type="dxa" w:w="120"/>
              <w:bottom w:type="dxa" w:w="100"/>
              <w:right w:type="dxa" w:w="120"/>
            </w:tcMar>
            <w:vAlign w:val="top"/>
          </w:tcPr>
          <w:p>
            <w:r>
              <w:rPr>
                <w:b w:val="false"/>
                <w:bCs w:val="false"/>
              </w:rPr>
              <w:t xml:space="preserve">• Por búsqueda exhaustiva (no aprendizaje automático), maximizando la suma del “beneficio sin cambio” de las carteras anteriores en toda la ventana: factor de penalización (0–3, pasos de 0,1), número de componentes (3 a 6), tope de diversificación (mínimo posible a 70%, pasos de 5), y frecuencia de rebalanceo (“diario” o cada umbral de supervivientes 0..N−1).</w:t>
            </w:r>
          </w:p>
        </w:tc>
        <w:tc>
          <w:tcPr>
            <w:tcW w:type="dxa" w:w="4675"/>
            <w:tcMar>
              <w:top w:type="dxa" w:w="100"/>
              <w:left w:type="dxa" w:w="120"/>
              <w:bottom w:type="dxa" w:w="100"/>
              <w:right w:type="dxa" w:w="120"/>
            </w:tcMar>
            <w:vAlign w:val="top"/>
          </w:tcPr>
          <w:p>
            <w:r>
              <w:rPr>
                <w:b w:val="false"/>
                <w:bCs w:val="false"/>
              </w:rPr>
              <w:t xml:space="preserve">• By exhaustive search (not machine learning), maximizing the sum of the “return with no change” of the previous portfolios across the whole window: penalty factor (0–3, steps of 0.1), number of components (3 to 6), diversification cap (lowest possible value to 70%, steps of 5), and rebalancing frequency (“daily” or each survivor threshold 0..N−1).</w:t>
            </w:r>
          </w:p>
        </w:tc>
      </w:tr>
      <w:tr>
        <w:tc>
          <w:tcPr>
            <w:tcW w:type="dxa" w:w="4675"/>
            <w:tcMar>
              <w:top w:type="dxa" w:w="100"/>
              <w:left w:type="dxa" w:w="120"/>
              <w:bottom w:type="dxa" w:w="100"/>
              <w:right w:type="dxa" w:w="120"/>
            </w:tcMar>
            <w:vAlign w:val="top"/>
          </w:tcPr>
          <w:p>
            <w:r>
              <w:rPr>
                <w:b w:val="false"/>
                <w:bCs w:val="false"/>
              </w:rPr>
              <w:t xml:space="preserve">• Resultados guardados en la sesión del navegador; se reutilizan hasta que se recarga la página o se vuelve a optimizar.</w:t>
            </w:r>
          </w:p>
        </w:tc>
        <w:tc>
          <w:tcPr>
            <w:tcW w:type="dxa" w:w="4675"/>
            <w:tcMar>
              <w:top w:type="dxa" w:w="100"/>
              <w:left w:type="dxa" w:w="120"/>
              <w:bottom w:type="dxa" w:w="100"/>
              <w:right w:type="dxa" w:w="120"/>
            </w:tcMar>
            <w:vAlign w:val="top"/>
          </w:tcPr>
          <w:p>
            <w:r>
              <w:rPr>
                <w:b w:val="false"/>
                <w:bCs w:val="false"/>
              </w:rPr>
              <w:t xml:space="preserve">• Results are stored in the browser session; reused until the page is reloaded or optimization is run again.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14. Configuración de la ventana del backtest</w:t>
            </w:r>
          </w:p>
        </w:tc>
        <w:tc>
          <w:tcPr>
            <w:tcW w:type="dxa" w:w="4675"/>
            <w:shd w:fill="D9E2F3" w:val="clear"/>
            <w:tcMar>
              <w:top w:type="dxa" w:w="100"/>
              <w:left w:type="dxa" w:w="120"/>
              <w:bottom w:type="dxa" w:w="100"/>
              <w:right w:type="dxa" w:w="120"/>
            </w:tcMar>
            <w:vAlign w:val="top"/>
          </w:tcPr>
          <w:p>
            <w:r>
              <w:rPr>
                <w:b/>
                <w:bCs/>
                <w:color w:val="1F3864"/>
                <w:sz w:val="26"/>
                <w:szCs w:val="26"/>
              </w:rPr>
              <w:t xml:space="preserve">14. Backtest window configuration</w:t>
            </w:r>
          </w:p>
        </w:tc>
      </w:tr>
      <w:tr>
        <w:tc>
          <w:tcPr>
            <w:tcW w:type="dxa" w:w="4675"/>
            <w:tcMar>
              <w:top w:type="dxa" w:w="100"/>
              <w:left w:type="dxa" w:w="120"/>
              <w:bottom w:type="dxa" w:w="100"/>
              <w:right w:type="dxa" w:w="120"/>
            </w:tcMar>
            <w:vAlign w:val="top"/>
          </w:tcPr>
          <w:p>
            <w:r>
              <w:rPr>
                <w:b w:val="false"/>
                <w:bCs w:val="false"/>
              </w:rPr>
              <w:t xml:space="preserve">• Nº de sesiones configurable (10, 15, 20, 30, 40 o 60). No se optimiza automáticamente (cambiarlo implica volver a descargar los datos), pero se puede fijar a mano y volver a ejecutar cualquier apartado con el nuevo valor.</w:t>
            </w:r>
          </w:p>
        </w:tc>
        <w:tc>
          <w:tcPr>
            <w:tcW w:type="dxa" w:w="4675"/>
            <w:tcMar>
              <w:top w:type="dxa" w:w="100"/>
              <w:left w:type="dxa" w:w="120"/>
              <w:bottom w:type="dxa" w:w="100"/>
              <w:right w:type="dxa" w:w="120"/>
            </w:tcMar>
            <w:vAlign w:val="top"/>
          </w:tcPr>
          <w:p>
            <w:r>
              <w:rPr>
                <w:b w:val="false"/>
                <w:bCs w:val="false"/>
              </w:rPr>
              <w:t xml:space="preserve">• Configurable number of sessions (10, 15, 20, 30, 40 or 60). Not optimized automatically (changing it means re-downloading the data), but it can be set manually and any section re-run with the new value.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15. Selección de los componentes de la cartera</w:t>
            </w:r>
          </w:p>
        </w:tc>
        <w:tc>
          <w:tcPr>
            <w:tcW w:type="dxa" w:w="4675"/>
            <w:shd w:fill="D9E2F3" w:val="clear"/>
            <w:tcMar>
              <w:top w:type="dxa" w:w="100"/>
              <w:left w:type="dxa" w:w="120"/>
              <w:bottom w:type="dxa" w:w="100"/>
              <w:right w:type="dxa" w:w="120"/>
            </w:tcMar>
            <w:vAlign w:val="top"/>
          </w:tcPr>
          <w:p>
            <w:r>
              <w:rPr>
                <w:b/>
                <w:bCs/>
                <w:color w:val="1F3864"/>
                <w:sz w:val="26"/>
                <w:szCs w:val="26"/>
              </w:rPr>
              <w:t xml:space="preserve">15. Selection of portfolio components</w:t>
            </w:r>
          </w:p>
        </w:tc>
      </w:tr>
      <w:tr>
        <w:tc>
          <w:tcPr>
            <w:tcW w:type="dxa" w:w="4675"/>
            <w:tcMar>
              <w:top w:type="dxa" w:w="100"/>
              <w:left w:type="dxa" w:w="120"/>
              <w:bottom w:type="dxa" w:w="100"/>
              <w:right w:type="dxa" w:w="120"/>
            </w:tcMar>
            <w:vAlign w:val="top"/>
          </w:tcPr>
          <w:p>
            <w:r>
              <w:rPr>
                <w:b w:val="false"/>
                <w:bCs w:val="false"/>
              </w:rPr>
              <w:t xml:space="preserve">• Vista día a día de la cartera anterior y la recién seleccionada, con su beneficio, el incremento diario del propio índice (Dow Jones) para comparar visualmente, y si ese día hubo o no rebalanceo.</w:t>
            </w:r>
          </w:p>
        </w:tc>
        <w:tc>
          <w:tcPr>
            <w:tcW w:type="dxa" w:w="4675"/>
            <w:tcMar>
              <w:top w:type="dxa" w:w="100"/>
              <w:left w:type="dxa" w:w="120"/>
              <w:bottom w:type="dxa" w:w="100"/>
              <w:right w:type="dxa" w:w="120"/>
            </w:tcMar>
            <w:vAlign w:val="top"/>
          </w:tcPr>
          <w:p>
            <w:r>
              <w:rPr>
                <w:b w:val="false"/>
                <w:bCs w:val="false"/>
              </w:rPr>
              <w:t xml:space="preserve">• Day-by-day view of the previous and the newly selected portfolio, with its return, the index's (Dow Jones) own daily change for visual comparison, and whether that day triggered a rebalance.</w:t>
            </w:r>
          </w:p>
        </w:tc>
      </w:tr>
      <w:tr>
        <w:tc>
          <w:tcPr>
            <w:tcW w:type="dxa" w:w="4675"/>
            <w:tcMar>
              <w:top w:type="dxa" w:w="100"/>
              <w:left w:type="dxa" w:w="120"/>
              <w:bottom w:type="dxa" w:w="100"/>
              <w:right w:type="dxa" w:w="120"/>
            </w:tcMar>
            <w:vAlign w:val="top"/>
          </w:tcPr>
          <w:p>
            <w:r>
              <w:rPr>
                <w:b w:val="false"/>
                <w:bCs w:val="false"/>
              </w:rPr>
              <w:t xml:space="preserve">• Al final se muestra la rentabilidad total acumulada de las carteras anteriores frente a la del índice en el mismo periodo, y el coeficiente de correlación de Pearson entre el beneficio diario de la cartera y el incremento diario del índice.</w:t>
            </w:r>
          </w:p>
        </w:tc>
        <w:tc>
          <w:tcPr>
            <w:tcW w:type="dxa" w:w="4675"/>
            <w:tcMar>
              <w:top w:type="dxa" w:w="100"/>
              <w:left w:type="dxa" w:w="120"/>
              <w:bottom w:type="dxa" w:w="100"/>
              <w:right w:type="dxa" w:w="120"/>
            </w:tcMar>
            <w:vAlign w:val="top"/>
          </w:tcPr>
          <w:p>
            <w:r>
              <w:rPr>
                <w:b w:val="false"/>
                <w:bCs w:val="false"/>
              </w:rPr>
              <w:t xml:space="preserve">• At the end, the total accumulated return of the previous portfolios is shown against the index's return over the same period, along with the Pearson correlation coefficient between the portfolio's daily return and the index's daily change.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16. Selección por volumen, por flujo de dinero y selección aleatoria</w:t>
            </w:r>
          </w:p>
        </w:tc>
        <w:tc>
          <w:tcPr>
            <w:tcW w:type="dxa" w:w="4675"/>
            <w:shd w:fill="D9E2F3" w:val="clear"/>
            <w:tcMar>
              <w:top w:type="dxa" w:w="100"/>
              <w:left w:type="dxa" w:w="120"/>
              <w:bottom w:type="dxa" w:w="100"/>
              <w:right w:type="dxa" w:w="120"/>
            </w:tcMar>
            <w:vAlign w:val="top"/>
          </w:tcPr>
          <w:p>
            <w:r>
              <w:rPr>
                <w:b/>
                <w:bCs/>
                <w:color w:val="1F3864"/>
                <w:sz w:val="26"/>
                <w:szCs w:val="26"/>
              </w:rPr>
              <w:t xml:space="preserve">16. Selection by volume, by money flow, and random selection</w:t>
            </w:r>
          </w:p>
        </w:tc>
      </w:tr>
      <w:tr>
        <w:tc>
          <w:tcPr>
            <w:tcW w:type="dxa" w:w="4675"/>
            <w:tcMar>
              <w:top w:type="dxa" w:w="100"/>
              <w:left w:type="dxa" w:w="120"/>
              <w:bottom w:type="dxa" w:w="100"/>
              <w:right w:type="dxa" w:w="120"/>
            </w:tcMar>
            <w:vAlign w:val="top"/>
          </w:tcPr>
          <w:p>
            <w:r>
              <w:rPr>
                <w:b w:val="false"/>
                <w:bCs w:val="false"/>
              </w:rPr>
              <w:t xml:space="preserve">• Tres réplicas exactas de la sección anterior, cambiando solo el criterio de puntuación (sección 5): volumen, flujo de dinero, y aleatorio.</w:t>
            </w:r>
          </w:p>
        </w:tc>
        <w:tc>
          <w:tcPr>
            <w:tcW w:type="dxa" w:w="4675"/>
            <w:tcMar>
              <w:top w:type="dxa" w:w="100"/>
              <w:left w:type="dxa" w:w="120"/>
              <w:bottom w:type="dxa" w:w="100"/>
              <w:right w:type="dxa" w:w="120"/>
            </w:tcMar>
            <w:vAlign w:val="top"/>
          </w:tcPr>
          <w:p>
            <w:r>
              <w:rPr>
                <w:b w:val="false"/>
                <w:bCs w:val="false"/>
              </w:rPr>
              <w:t xml:space="preserve">• Three exact replicas of the previous section, changing only the scoring criterion (section 5): volume, money flow, and random.</w:t>
            </w:r>
          </w:p>
        </w:tc>
      </w:tr>
      <w:tr>
        <w:tc>
          <w:tcPr>
            <w:tcW w:type="dxa" w:w="4675"/>
            <w:tcMar>
              <w:top w:type="dxa" w:w="100"/>
              <w:left w:type="dxa" w:w="120"/>
              <w:bottom w:type="dxa" w:w="100"/>
              <w:right w:type="dxa" w:w="120"/>
            </w:tcMar>
            <w:vAlign w:val="top"/>
          </w:tcPr>
          <w:p>
            <w:r>
              <w:rPr>
                <w:b w:val="false"/>
                <w:bCs w:val="false"/>
              </w:rPr>
              <w:t xml:space="preserve">• La selección aleatoria sirve de control: si un criterio no supera de forma clara a la selección aleatoria, no está aportando valor predictivo real.</w:t>
            </w:r>
          </w:p>
        </w:tc>
        <w:tc>
          <w:tcPr>
            <w:tcW w:type="dxa" w:w="4675"/>
            <w:tcMar>
              <w:top w:type="dxa" w:w="100"/>
              <w:left w:type="dxa" w:w="120"/>
              <w:bottom w:type="dxa" w:w="100"/>
              <w:right w:type="dxa" w:w="120"/>
            </w:tcMar>
            <w:vAlign w:val="top"/>
          </w:tcPr>
          <w:p>
            <w:r>
              <w:rPr>
                <w:b w:val="false"/>
                <w:bCs w:val="false"/>
              </w:rPr>
              <w:t xml:space="preserve">• The random selection serves as a control: if a criterion doesn't clearly beat the random selection, it isn't adding genuine predictive value.</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17. Selección por “veces seleccionado”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17. Selection by “times selected”</w:t>
            </w:r>
          </w:p>
        </w:tc>
      </w:tr>
      <w:tr>
        <w:tc>
          <w:tcPr>
            <w:tcW w:type="dxa" w:w="4675"/>
            <w:tcMar>
              <w:top w:type="dxa" w:w="100"/>
              <w:left w:type="dxa" w:w="120"/>
              <w:bottom w:type="dxa" w:w="100"/>
              <w:right w:type="dxa" w:w="120"/>
            </w:tcMar>
            <w:vAlign w:val="top"/>
          </w:tcPr>
          <w:p>
            <w:r>
              <w:rPr>
                <w:b w:val="false"/>
                <w:bCs w:val="false"/>
              </w:rPr>
              <w:t xml:space="preserve">• Modo “análisis”: dos backtests sucesivos y sin solape. El primero, sobre un número configurable de sesiones anteriores a la ventana principal (5, 10, 15, 20 o 30), cuenta cuántas veces ha estado cada componente en cartera; se eligen los que más veces han estado, y con esa cartera fija (frecuencia “nunca”) se recorre la ventana principal.</w:t>
            </w:r>
          </w:p>
        </w:tc>
        <w:tc>
          <w:tcPr>
            <w:tcW w:type="dxa" w:w="4675"/>
            <w:tcMar>
              <w:top w:type="dxa" w:w="100"/>
              <w:left w:type="dxa" w:w="120"/>
              <w:bottom w:type="dxa" w:w="100"/>
              <w:right w:type="dxa" w:w="120"/>
            </w:tcMar>
            <w:vAlign w:val="top"/>
          </w:tcPr>
          <w:p>
            <w:r>
              <w:rPr>
                <w:b w:val="false"/>
                <w:bCs w:val="false"/>
              </w:rPr>
              <w:t xml:space="preserve">• “Analysis” mode: two successive, non-overlapping backtests. The first, over a configurable number of sessions before the main window (5, 10, 15, 20 or 30), counts how many times each component has been in the portfolio; the most frequent ones are chosen, and with that fixed portfolio (“never” frequency) the main window is run through.</w:t>
            </w:r>
          </w:p>
        </w:tc>
      </w:tr>
      <w:tr>
        <w:tc>
          <w:tcPr>
            <w:tcW w:type="dxa" w:w="4675"/>
            <w:tcMar>
              <w:top w:type="dxa" w:w="100"/>
              <w:left w:type="dxa" w:w="120"/>
              <w:bottom w:type="dxa" w:w="100"/>
              <w:right w:type="dxa" w:w="120"/>
            </w:tcMar>
            <w:vAlign w:val="top"/>
          </w:tcPr>
          <w:p>
            <w:r>
              <w:rPr>
                <w:b w:val="false"/>
                <w:bCs w:val="false"/>
              </w:rPr>
              <w:t xml:space="preserve">• Modo “cartera real”: un único cálculo con las sesiones más recientes disponibles, para componer una cartera para invertir hoy — sin backtest posterior, asumiendo a propósito el sesgo de anticipación porque aquí el objetivo es la cartera de hoy, no medir una estrategia.</w:t>
            </w:r>
          </w:p>
        </w:tc>
        <w:tc>
          <w:tcPr>
            <w:tcW w:type="dxa" w:w="4675"/>
            <w:tcMar>
              <w:top w:type="dxa" w:w="100"/>
              <w:left w:type="dxa" w:w="120"/>
              <w:bottom w:type="dxa" w:w="100"/>
              <w:right w:type="dxa" w:w="120"/>
            </w:tcMar>
            <w:vAlign w:val="top"/>
          </w:tcPr>
          <w:p>
            <w:r>
              <w:rPr>
                <w:b w:val="false"/>
                <w:bCs w:val="false"/>
              </w:rPr>
              <w:t xml:space="preserve">• “Real portfolio” mode: a single calculation using the most recent sessions available, to put together a portfolio to actually invest in today — no later backtest, knowingly accepting look-ahead bias since the goal here is today's portfolio, not measuring a strategy.</w:t>
            </w:r>
          </w:p>
        </w:tc>
      </w:tr>
      <w:tr>
        <w:tc>
          <w:tcPr>
            <w:tcW w:type="dxa" w:w="4675"/>
            <w:tcMar>
              <w:top w:type="dxa" w:w="100"/>
              <w:left w:type="dxa" w:w="120"/>
              <w:bottom w:type="dxa" w:w="100"/>
              <w:right w:type="dxa" w:w="120"/>
            </w:tcMar>
            <w:vAlign w:val="top"/>
          </w:tcPr>
          <w:p>
            <w:r>
              <w:rPr>
                <w:b w:val="false"/>
                <w:bCs w:val="false"/>
              </w:rPr>
              <w:t xml:space="preserve">• Disponible también con criterio de volumen.</w:t>
            </w:r>
          </w:p>
        </w:tc>
        <w:tc>
          <w:tcPr>
            <w:tcW w:type="dxa" w:w="4675"/>
            <w:tcMar>
              <w:top w:type="dxa" w:w="100"/>
              <w:left w:type="dxa" w:w="120"/>
              <w:bottom w:type="dxa" w:w="100"/>
              <w:right w:type="dxa" w:w="120"/>
            </w:tcMar>
            <w:vAlign w:val="top"/>
          </w:tcPr>
          <w:p>
            <w:r>
              <w:rPr>
                <w:b w:val="false"/>
                <w:bCs w:val="false"/>
              </w:rPr>
              <w:t xml:space="preserve">• Also available with the volume criterion.</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18. Análisis de correlación con el índice</w:t>
            </w:r>
          </w:p>
        </w:tc>
        <w:tc>
          <w:tcPr>
            <w:tcW w:type="dxa" w:w="4675"/>
            <w:shd w:fill="D9E2F3" w:val="clear"/>
            <w:tcMar>
              <w:top w:type="dxa" w:w="100"/>
              <w:left w:type="dxa" w:w="120"/>
              <w:bottom w:type="dxa" w:w="100"/>
              <w:right w:type="dxa" w:w="120"/>
            </w:tcMar>
            <w:vAlign w:val="top"/>
          </w:tcPr>
          <w:p>
            <w:r>
              <w:rPr>
                <w:b/>
                <w:bCs/>
                <w:color w:val="1F3864"/>
                <w:sz w:val="26"/>
                <w:szCs w:val="26"/>
              </w:rPr>
              <w:t xml:space="preserve">18. Correlation analysis vs. the index</w:t>
            </w:r>
          </w:p>
        </w:tc>
      </w:tr>
      <w:tr>
        <w:tc>
          <w:tcPr>
            <w:tcW w:type="dxa" w:w="4675"/>
            <w:tcMar>
              <w:top w:type="dxa" w:w="100"/>
              <w:left w:type="dxa" w:w="120"/>
              <w:bottom w:type="dxa" w:w="100"/>
              <w:right w:type="dxa" w:w="120"/>
            </w:tcMar>
            <w:vAlign w:val="top"/>
          </w:tcPr>
          <w:p>
            <w:r>
              <w:rPr>
                <w:b w:val="false"/>
                <w:bCs w:val="false"/>
              </w:rPr>
              <w:t xml:space="preserve">• Tabla método (precio / volumen / flujo / aleatorio) × duración de backtest (10, 15, 20, 30, 40, 60 sesiones), con 6 ventanas históricas sin solape por celda y, para “aleatorio”, 10 semillas distintas por ventana — para tener una distribución de control, no un único punto.</w:t>
            </w:r>
          </w:p>
        </w:tc>
        <w:tc>
          <w:tcPr>
            <w:tcW w:type="dxa" w:w="4675"/>
            <w:tcMar>
              <w:top w:type="dxa" w:w="100"/>
              <w:left w:type="dxa" w:w="120"/>
              <w:bottom w:type="dxa" w:w="100"/>
              <w:right w:type="dxa" w:w="120"/>
            </w:tcMar>
            <w:vAlign w:val="top"/>
          </w:tcPr>
          <w:p>
            <w:r>
              <w:rPr>
                <w:b w:val="false"/>
                <w:bCs w:val="false"/>
              </w:rPr>
              <w:t xml:space="preserve">• Method (price / volume / money flow / random) × backtest duration (10, 15, 20, 30, 40, 60 sessions) table, with 6 non-overlapping historical windows per cell and, for “random”, 10 different seeds per window — to get a control distribution, not a single point.</w:t>
            </w:r>
          </w:p>
        </w:tc>
      </w:tr>
      <w:tr>
        <w:tc>
          <w:tcPr>
            <w:tcW w:type="dxa" w:w="4675"/>
            <w:tcMar>
              <w:top w:type="dxa" w:w="100"/>
              <w:left w:type="dxa" w:w="120"/>
              <w:bottom w:type="dxa" w:w="100"/>
              <w:right w:type="dxa" w:w="120"/>
            </w:tcMar>
            <w:vAlign w:val="top"/>
          </w:tcPr>
          <w:p>
            <w:r>
              <w:rPr>
                <w:b w:val="false"/>
                <w:bCs w:val="false"/>
              </w:rPr>
              <w:t xml:space="preserve">• Columnas: correlación media (transformación de Fisher) y rango, rentabilidad media de la cartera y rango, rentabilidad media del propio índice.</w:t>
            </w:r>
          </w:p>
        </w:tc>
        <w:tc>
          <w:tcPr>
            <w:tcW w:type="dxa" w:w="4675"/>
            <w:tcMar>
              <w:top w:type="dxa" w:w="100"/>
              <w:left w:type="dxa" w:w="120"/>
              <w:bottom w:type="dxa" w:w="100"/>
              <w:right w:type="dxa" w:w="120"/>
            </w:tcMar>
            <w:vAlign w:val="top"/>
          </w:tcPr>
          <w:p>
            <w:r>
              <w:rPr>
                <w:b w:val="false"/>
                <w:bCs w:val="false"/>
              </w:rPr>
              <w:t xml:space="preserve">• Columns: average correlation (Fisher transform) and range, average portfolio return and range, average return of the index itself.</w:t>
            </w:r>
          </w:p>
        </w:tc>
      </w:tr>
      <w:tr>
        <w:tc>
          <w:tcPr>
            <w:tcW w:type="dxa" w:w="4675"/>
            <w:tcMar>
              <w:top w:type="dxa" w:w="100"/>
              <w:left w:type="dxa" w:w="120"/>
              <w:bottom w:type="dxa" w:w="100"/>
              <w:right w:type="dxa" w:w="120"/>
            </w:tcMar>
            <w:vAlign w:val="top"/>
          </w:tcPr>
          <w:p>
            <w:r>
              <w:rPr>
                <w:b w:val="false"/>
                <w:bCs w:val="false"/>
              </w:rPr>
              <w:t xml:space="preserve">• La aplicación genera automáticamente una conclusión en texto, comparando cada criterio frente a la distribución de la selección aleatoria (puntuación z por duración) y la diferencia de correlación media entre métodos.</w:t>
            </w:r>
          </w:p>
        </w:tc>
        <w:tc>
          <w:tcPr>
            <w:tcW w:type="dxa" w:w="4675"/>
            <w:tcMar>
              <w:top w:type="dxa" w:w="100"/>
              <w:left w:type="dxa" w:w="120"/>
              <w:bottom w:type="dxa" w:w="100"/>
              <w:right w:type="dxa" w:w="120"/>
            </w:tcMar>
            <w:vAlign w:val="top"/>
          </w:tcPr>
          <w:p>
            <w:r>
              <w:rPr>
                <w:b w:val="false"/>
                <w:bCs w:val="false"/>
              </w:rPr>
              <w:t xml:space="preserve">• The application automatically generates a text conclusion, comparing each criterion against the random-selection distribution (z-score per duration) and the average correlation difference between methods.</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19. Validación del modelo</w:t>
            </w:r>
          </w:p>
        </w:tc>
        <w:tc>
          <w:tcPr>
            <w:tcW w:type="dxa" w:w="4675"/>
            <w:shd w:fill="D9E2F3" w:val="clear"/>
            <w:tcMar>
              <w:top w:type="dxa" w:w="100"/>
              <w:left w:type="dxa" w:w="120"/>
              <w:bottom w:type="dxa" w:w="100"/>
              <w:right w:type="dxa" w:w="120"/>
            </w:tcMar>
            <w:vAlign w:val="top"/>
          </w:tcPr>
          <w:p>
            <w:r>
              <w:rPr>
                <w:b/>
                <w:bCs/>
                <w:color w:val="1F3864"/>
                <w:sz w:val="26"/>
                <w:szCs w:val="26"/>
              </w:rPr>
              <w:t xml:space="preserve">19. Model validation</w:t>
            </w:r>
          </w:p>
        </w:tc>
      </w:tr>
      <w:tr>
        <w:tc>
          <w:tcPr>
            <w:tcW w:type="dxa" w:w="4675"/>
            <w:tcMar>
              <w:top w:type="dxa" w:w="100"/>
              <w:left w:type="dxa" w:w="120"/>
              <w:bottom w:type="dxa" w:w="100"/>
              <w:right w:type="dxa" w:w="120"/>
            </w:tcMar>
            <w:vAlign w:val="top"/>
          </w:tcPr>
          <w:p>
            <w:r>
              <w:rPr>
                <w:b w:val="false"/>
                <w:bCs w:val="false"/>
              </w:rPr>
              <w:t xml:space="preserve">• Comparación sistemática frente a una selección aleatoria de control (mismo tamaño de cartera, mismas reglas de rebalanceo) como referencia de significancia práctica, no solo frente al propio índice.</w:t>
            </w:r>
          </w:p>
        </w:tc>
        <w:tc>
          <w:tcPr>
            <w:tcW w:type="dxa" w:w="4675"/>
            <w:tcMar>
              <w:top w:type="dxa" w:w="100"/>
              <w:left w:type="dxa" w:w="120"/>
              <w:bottom w:type="dxa" w:w="100"/>
              <w:right w:type="dxa" w:w="120"/>
            </w:tcMar>
            <w:vAlign w:val="top"/>
          </w:tcPr>
          <w:p>
            <w:r>
              <w:rPr>
                <w:b w:val="false"/>
                <w:bCs w:val="false"/>
              </w:rPr>
              <w:t xml:space="preserve">• Systematic comparison against a random control selection (same portfolio size, same rebalancing rules) as a benchmark for practical significance, not just against the index itself.</w:t>
            </w:r>
          </w:p>
        </w:tc>
      </w:tr>
      <w:tr>
        <w:tc>
          <w:tcPr>
            <w:tcW w:type="dxa" w:w="4675"/>
            <w:tcMar>
              <w:top w:type="dxa" w:w="100"/>
              <w:left w:type="dxa" w:w="120"/>
              <w:bottom w:type="dxa" w:w="100"/>
              <w:right w:type="dxa" w:w="120"/>
            </w:tcMar>
            <w:vAlign w:val="top"/>
          </w:tcPr>
          <w:p>
            <w:r>
              <w:rPr>
                <w:b w:val="false"/>
                <w:bCs w:val="false"/>
              </w:rPr>
              <w:t xml:space="preserve">• Limitaciones conocidas: universo pequeño (30 valores), historial de mercado limitado, ventanas de backtest cortas — los resultados deben leerse con cautela estadística, no como prueba concluyente.</w:t>
            </w:r>
          </w:p>
        </w:tc>
        <w:tc>
          <w:tcPr>
            <w:tcW w:type="dxa" w:w="4675"/>
            <w:tcMar>
              <w:top w:type="dxa" w:w="100"/>
              <w:left w:type="dxa" w:w="120"/>
              <w:bottom w:type="dxa" w:w="100"/>
              <w:right w:type="dxa" w:w="120"/>
            </w:tcMar>
            <w:vAlign w:val="top"/>
          </w:tcPr>
          <w:p>
            <w:r>
              <w:rPr>
                <w:b w:val="false"/>
                <w:bCs w:val="false"/>
              </w:rPr>
              <w:t xml:space="preserve">• Known limitations: small universe (30 stocks), limited market history, short backtest windows — results should be read with statistical caution, not as conclusive proof.</w:t>
            </w:r>
          </w:p>
        </w:tc>
      </w:tr>
      <w:tr>
        <w:tc>
          <w:tcPr>
            <w:tcW w:type="dxa" w:w="4675"/>
            <w:shd w:fill="D9E2F3" w:val="clear"/>
            <w:tcMar>
              <w:top w:type="dxa" w:w="100"/>
              <w:left w:type="dxa" w:w="120"/>
              <w:bottom w:type="dxa" w:w="100"/>
              <w:right w:type="dxa" w:w="120"/>
            </w:tcMar>
            <w:vAlign w:val="top"/>
          </w:tcPr>
          <w:p>
            <w:r>
              <w:rPr>
                <w:b/>
                <w:bCs/>
                <w:color w:val="1F3864"/>
                <w:sz w:val="26"/>
                <w:szCs w:val="26"/>
              </w:rPr>
              <w:t xml:space="preserve">20. Cuestiones abiertas para el desarrollo</w:t>
            </w:r>
          </w:p>
        </w:tc>
        <w:tc>
          <w:tcPr>
            <w:tcW w:type="dxa" w:w="4675"/>
            <w:shd w:fill="D9E2F3" w:val="clear"/>
            <w:tcMar>
              <w:top w:type="dxa" w:w="100"/>
              <w:left w:type="dxa" w:w="120"/>
              <w:bottom w:type="dxa" w:w="100"/>
              <w:right w:type="dxa" w:w="120"/>
            </w:tcMar>
            <w:vAlign w:val="top"/>
          </w:tcPr>
          <w:p>
            <w:r>
              <w:rPr>
                <w:b/>
                <w:bCs/>
                <w:color w:val="1F3864"/>
                <w:sz w:val="26"/>
                <w:szCs w:val="26"/>
              </w:rPr>
              <w:t xml:space="preserve">20. Open questions for development</w:t>
            </w:r>
          </w:p>
        </w:tc>
      </w:tr>
      <w:tr>
        <w:tc>
          <w:tcPr>
            <w:tcW w:type="dxa" w:w="4675"/>
            <w:tcMar>
              <w:top w:type="dxa" w:w="100"/>
              <w:left w:type="dxa" w:w="120"/>
              <w:bottom w:type="dxa" w:w="100"/>
              <w:right w:type="dxa" w:w="120"/>
            </w:tcMar>
            <w:vAlign w:val="top"/>
          </w:tcPr>
          <w:p>
            <w:r>
              <w:rPr>
                <w:b w:val="false"/>
                <w:bCs w:val="false"/>
              </w:rPr>
              <w:t xml:space="preserve">• Semana del 27 de julio: añadir la posibilidad de elegir otros índices (Ibex 35, CAC 40, etc.) y comprobar si los resultados están en línea con los obtenidos para el Dow Jones.</w:t>
            </w:r>
          </w:p>
        </w:tc>
        <w:tc>
          <w:tcPr>
            <w:tcW w:type="dxa" w:w="4675"/>
            <w:tcMar>
              <w:top w:type="dxa" w:w="100"/>
              <w:left w:type="dxa" w:w="120"/>
              <w:bottom w:type="dxa" w:w="100"/>
              <w:right w:type="dxa" w:w="120"/>
            </w:tcMar>
            <w:vAlign w:val="top"/>
          </w:tcPr>
          <w:p>
            <w:r>
              <w:rPr>
                <w:b w:val="false"/>
                <w:bCs w:val="false"/>
              </w:rPr>
              <w:t xml:space="preserve">• Week of July 27: add the ability to choose other indices (Ibex 35, CAC 40, etc.) and check whether the results are in line with those obtained for the Dow Jones.</w:t>
            </w:r>
          </w:p>
        </w:tc>
      </w:tr>
      <w:tr>
        <w:tc>
          <w:tcPr>
            <w:tcW w:type="dxa" w:w="4675"/>
            <w:tcMar>
              <w:top w:type="dxa" w:w="100"/>
              <w:left w:type="dxa" w:w="120"/>
              <w:bottom w:type="dxa" w:w="100"/>
              <w:right w:type="dxa" w:w="120"/>
            </w:tcMar>
            <w:vAlign w:val="top"/>
          </w:tcPr>
          <w:p>
            <w:r>
              <w:rPr>
                <w:b w:val="false"/>
                <w:bCs w:val="false"/>
              </w:rPr>
              <w:t xml:space="preserve">• Explorar más indicadores interpretables dentro del mismo marco riguroso (por ejemplo, una media móvil de ventana ajustable en vez de fija en 3 sesiones).</w:t>
            </w:r>
          </w:p>
        </w:tc>
        <w:tc>
          <w:tcPr>
            <w:tcW w:type="dxa" w:w="4675"/>
            <w:tcMar>
              <w:top w:type="dxa" w:w="100"/>
              <w:left w:type="dxa" w:w="120"/>
              <w:bottom w:type="dxa" w:w="100"/>
              <w:right w:type="dxa" w:w="120"/>
            </w:tcMar>
            <w:vAlign w:val="top"/>
          </w:tcPr>
          <w:p>
            <w:r>
              <w:rPr>
                <w:b w:val="false"/>
                <w:bCs w:val="false"/>
              </w:rPr>
              <w:t xml:space="preserve">• Explore more interpretable indicators within the same rigorous framework (for example, a moving average with an adjustable window instead of a fixed 3 sessions).</w:t>
            </w:r>
          </w:p>
        </w:tc>
      </w:tr>
      <w:tr>
        <w:tc>
          <w:tcPr>
            <w:tcW w:type="dxa" w:w="4675"/>
            <w:tcMar>
              <w:top w:type="dxa" w:w="100"/>
              <w:left w:type="dxa" w:w="120"/>
              <w:bottom w:type="dxa" w:w="100"/>
              <w:right w:type="dxa" w:w="120"/>
            </w:tcMar>
            <w:vAlign w:val="top"/>
          </w:tcPr>
          <w:p>
            <w:r>
              <w:rPr>
                <w:b w:val="false"/>
                <w:bCs w:val="false"/>
              </w:rPr>
              <w:t xml:space="preserve">• Descartado a propósito: un modelo de selección propio tipo red neuronal / perceptrón — demasiado riesgo de sobreajuste con estos datos y pérdida de auditabilidad (ver sección 3).</w:t>
            </w:r>
          </w:p>
        </w:tc>
        <w:tc>
          <w:tcPr>
            <w:tcW w:type="dxa" w:w="4675"/>
            <w:tcMar>
              <w:top w:type="dxa" w:w="100"/>
              <w:left w:type="dxa" w:w="120"/>
              <w:bottom w:type="dxa" w:w="100"/>
              <w:right w:type="dxa" w:w="120"/>
            </w:tcMar>
            <w:vAlign w:val="top"/>
          </w:tcPr>
          <w:p>
            <w:r>
              <w:rPr>
                <w:b w:val="false"/>
                <w:bCs w:val="false"/>
              </w:rPr>
              <w:t xml:space="preserve">• Deliberately ruled out: a custom neural-net / perceptron-style selection model — too much overfitting risk with this data, and loss of auditability (see section 3).</w:t>
            </w:r>
          </w:p>
        </w:tc>
      </w:tr>
      <w:tr>
        <w:tc>
          <w:tcPr>
            <w:tcW w:type="dxa" w:w="4675"/>
            <w:tcMar>
              <w:top w:type="dxa" w:w="100"/>
              <w:left w:type="dxa" w:w="120"/>
              <w:bottom w:type="dxa" w:w="100"/>
              <w:right w:type="dxa" w:w="120"/>
            </w:tcMar>
            <w:vAlign w:val="top"/>
          </w:tcPr>
          <w:p>
            <w:r>
              <w:rPr>
                <w:b w:val="false"/>
                <w:bCs w:val="false"/>
              </w:rPr>
              <w:t xml:space="preserve">• Ficheros huérfanos pendientes de borrar del repositorio: pages/api/optimizarReparto.js, optimizarAlpha.js, testOptimizacion.js.</w:t>
            </w:r>
          </w:p>
        </w:tc>
        <w:tc>
          <w:tcPr>
            <w:tcW w:type="dxa" w:w="4675"/>
            <w:tcMar>
              <w:top w:type="dxa" w:w="100"/>
              <w:left w:type="dxa" w:w="120"/>
              <w:bottom w:type="dxa" w:w="100"/>
              <w:right w:type="dxa" w:w="120"/>
            </w:tcMar>
            <w:vAlign w:val="top"/>
          </w:tcPr>
          <w:p>
            <w:r>
              <w:rPr>
                <w:b w:val="false"/>
                <w:bCs w:val="false"/>
              </w:rPr>
              <w:t xml:space="preserve">• Orphaned files still pending deletion from the repo: pages/api/optimizarReparto.js, optimizarAlpha.js, testOptimizacion.js.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2026-07-20T04:07:51.051Z</dcterms:created>
  <dcterms:modified xsi:type="dcterms:W3CDTF">2026-07-20T04:07:51.063Z</dcterms:modified>
</cp:coreProperties>
</file>

<file path=docProps/custom.xml><?xml version="1.0" encoding="utf-8"?>
<Properties xmlns="http://schemas.openxmlformats.org/officeDocument/2006/custom-properties" xmlns:vt="http://schemas.openxmlformats.org/officeDocument/2006/docPropsVTypes"/>
</file>