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56"/>
          <w:szCs w:val="56"/>
        </w:rPr>
        <w:t xml:space="preserve">IA PARA FI DOW JONES</w:t>
      </w:r>
    </w:p>
    <w:p>
      <w:pPr>
        <w:spacing w:after="60"/>
      </w:pPr>
      <w:r>
        <w:rPr>
          <w:i/>
          <w:iCs/>
          <w:color w:val="2E74B5"/>
          <w:sz w:val="26"/>
          <w:szCs w:val="26"/>
        </w:rPr>
        <w:t xml:space="preserve">Historia del proyecto / </w:t>
      </w:r>
      <w:r>
        <w:rPr>
          <w:i/>
          <w:iCs/>
          <w:color w:val="2E74B5"/>
          <w:sz w:val="26"/>
          <w:szCs w:val="26"/>
        </w:rPr>
        <w:t xml:space="preserve">Project history</w:t>
      </w:r>
    </w:p>
    <w:p>
      <w:pPr>
        <w:spacing w:after="300"/>
      </w:pPr>
      <w:r>
        <w:rPr>
          <w:color w:val="6B6B6B"/>
          <w:sz w:val="20"/>
          <w:szCs w:val="20"/>
        </w:rPr>
        <w:t xml:space="preserve">Documento bilingüe (español / English)</w:t>
      </w:r>
    </w:p>
    <w:p>
      <w:pPr>
        <w:pBdr>
          <w:bottom w:val="single" w:color="BFBFBF" w:sz="6" w:space="1"/>
        </w:pBdr>
        <w:spacing w:after="24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75"/>
            <w:shd w:fill="1F3864" w:val="clear"/>
            <w:tcMar>
              <w:top w:type="dxa" w:w="100"/>
              <w:left w:type="dxa" w:w="120"/>
              <w:bottom w:type="dxa" w:w="100"/>
              <w:right w:type="dxa" w:w="120"/>
            </w:tcMar>
            <w:vAlign w:val="top"/>
          </w:tcPr>
          <w:p>
            <w:r>
              <w:rPr>
                <w:b/>
                <w:bCs/>
                <w:color w:val="FFFFFF"/>
              </w:rPr>
              <w:t xml:space="preserve">ESPAÑOL</w:t>
            </w:r>
          </w:p>
        </w:tc>
        <w:tc>
          <w:tcPr>
            <w:tcW w:type="dxa" w:w="4675"/>
            <w:shd w:fill="1F3864" w:val="clear"/>
            <w:tcMar>
              <w:top w:type="dxa" w:w="100"/>
              <w:left w:type="dxa" w:w="120"/>
              <w:bottom w:type="dxa" w:w="100"/>
              <w:right w:type="dxa" w:w="120"/>
            </w:tcMar>
            <w:vAlign w:val="top"/>
          </w:tcPr>
          <w:p>
            <w:r>
              <w:rPr>
                <w:b/>
                <w:bCs/>
                <w:color w:val="FFFFFF"/>
              </w:rPr>
              <w:t xml:space="preserve">ENGLISH</w:t>
            </w:r>
          </w:p>
        </w:tc>
      </w:tr>
      <w:tr>
        <w:tc>
          <w:tcPr>
            <w:tcW w:type="dxa" w:w="4675"/>
            <w:shd w:fill="EAF1FA" w:val="clear"/>
            <w:tcMar>
              <w:top w:type="dxa" w:w="100"/>
              <w:left w:type="dxa" w:w="120"/>
              <w:bottom w:type="dxa" w:w="100"/>
              <w:right w:type="dxa" w:w="120"/>
            </w:tcMar>
            <w:vAlign w:val="top"/>
          </w:tcPr>
          <w:p>
            <w:r>
              <w:rPr>
                <w:b/>
                <w:bCs/>
                <w:color w:val="2E74B5"/>
              </w:rPr>
              <w:t xml:space="preserve">Origen: el curso "The Vibe Coding Studio"</w:t>
            </w:r>
          </w:p>
        </w:tc>
        <w:tc>
          <w:tcPr>
            <w:tcW w:type="dxa" w:w="4675"/>
            <w:shd w:fill="EAF1FA" w:val="clear"/>
            <w:tcMar>
              <w:top w:type="dxa" w:w="100"/>
              <w:left w:type="dxa" w:w="120"/>
              <w:bottom w:type="dxa" w:w="100"/>
              <w:right w:type="dxa" w:w="120"/>
            </w:tcMar>
            <w:vAlign w:val="top"/>
          </w:tcPr>
          <w:p>
            <w:r>
              <w:rPr>
                <w:b/>
                <w:bCs/>
                <w:color w:val="2E74B5"/>
              </w:rPr>
              <w:t xml:space="preserve">Origin: "The Vibe Coding Studio" course</w:t>
            </w:r>
          </w:p>
        </w:tc>
      </w:tr>
      <w:tr>
        <w:tc>
          <w:tcPr>
            <w:tcW w:type="dxa" w:w="4675"/>
            <w:tcMar>
              <w:top w:type="dxa" w:w="100"/>
              <w:left w:type="dxa" w:w="120"/>
              <w:bottom w:type="dxa" w:w="100"/>
              <w:right w:type="dxa" w:w="120"/>
            </w:tcMar>
            <w:vAlign w:val="top"/>
          </w:tcPr>
          <w:p>
            <w:r>
              <w:rPr>
                <w:b w:val="false"/>
                <w:bCs w:val="false"/>
              </w:rPr>
              <w:t xml:space="preserve">Esta aplicación nace como trabajo de participación activa en "The Vibe Coding Studio", un curso impartido por Phillip Compeau, profesor de la Universidad Carnegie Mellon, donde lleva más de una década enseñando ciencias de la computación y biología computacional. El curso combina cuatro semanas de instrucción en programación asistida por IA con seis semanas adicionales en las que cada participante desarrolla y da forma a su propio proyecto. No exige conocimientos previos de programación: está pensado para que cualquier persona pueda construir aplicaciones reales guiando a la IA con claridad, en vez de partir de la sintaxis tradicional.</w:t>
            </w:r>
          </w:p>
        </w:tc>
        <w:tc>
          <w:tcPr>
            <w:tcW w:type="dxa" w:w="4675"/>
            <w:tcMar>
              <w:top w:type="dxa" w:w="100"/>
              <w:left w:type="dxa" w:w="120"/>
              <w:bottom w:type="dxa" w:w="100"/>
              <w:right w:type="dxa" w:w="120"/>
            </w:tcMar>
            <w:vAlign w:val="top"/>
          </w:tcPr>
          <w:p>
            <w:r>
              <w:rPr>
                <w:b w:val="false"/>
                <w:bCs w:val="false"/>
              </w:rPr>
              <w:t xml:space="preserve">This application was born as an active-participation project for "The Vibe Coding Studio," a course taught by Phillip Compeau, a professor at Carnegie Mellon University, where he has taught computer science and computational biology for over a decade. The course combines four weeks of AI-assisted coding instruction with six additional weeks in which each participant develops and finishes shaping their own project. It requires no prior programming knowledge: it is designed so that anyone can build real applications by clearly guiding the AI, rather than starting from traditional syntax.</w:t>
            </w:r>
          </w:p>
        </w:tc>
      </w:tr>
      <w:tr>
        <w:tc>
          <w:tcPr>
            <w:tcW w:type="dxa" w:w="4675"/>
            <w:shd w:fill="EAF1FA" w:val="clear"/>
            <w:tcMar>
              <w:top w:type="dxa" w:w="100"/>
              <w:left w:type="dxa" w:w="120"/>
              <w:bottom w:type="dxa" w:w="100"/>
              <w:right w:type="dxa" w:w="120"/>
            </w:tcMar>
            <w:vAlign w:val="top"/>
          </w:tcPr>
          <w:p>
            <w:r>
              <w:rPr>
                <w:b/>
                <w:bCs/>
                <w:color w:val="2E74B5"/>
              </w:rPr>
              <w:t xml:space="preserve">La filosofía del curso: la IA como "segundo cerebro"</w:t>
            </w:r>
          </w:p>
        </w:tc>
        <w:tc>
          <w:tcPr>
            <w:tcW w:type="dxa" w:w="4675"/>
            <w:shd w:fill="EAF1FA" w:val="clear"/>
            <w:tcMar>
              <w:top w:type="dxa" w:w="100"/>
              <w:left w:type="dxa" w:w="120"/>
              <w:bottom w:type="dxa" w:w="100"/>
              <w:right w:type="dxa" w:w="120"/>
            </w:tcMar>
            <w:vAlign w:val="top"/>
          </w:tcPr>
          <w:p>
            <w:r>
              <w:rPr>
                <w:b/>
                <w:bCs/>
                <w:color w:val="2E74B5"/>
              </w:rPr>
              <w:t xml:space="preserve">The course's philosophy: AI as a "second brain"</w:t>
            </w:r>
          </w:p>
        </w:tc>
      </w:tr>
      <w:tr>
        <w:tc>
          <w:tcPr>
            <w:tcW w:type="dxa" w:w="4675"/>
            <w:tcMar>
              <w:top w:type="dxa" w:w="100"/>
              <w:left w:type="dxa" w:w="120"/>
              <w:bottom w:type="dxa" w:w="100"/>
              <w:right w:type="dxa" w:w="120"/>
            </w:tcMar>
            <w:vAlign w:val="top"/>
          </w:tcPr>
          <w:p>
            <w:r>
              <w:rPr>
                <w:b w:val="false"/>
                <w:bCs w:val="false"/>
              </w:rPr>
              <w:t xml:space="preserve">Entre las ideas de fondo del curso está la de usar la inteligencia artificial de forma adecuada y eficaz para aprender cualquier tema, sin que su dificultad sea un obstáculo, o para disponer de un "segundo cerebro" que amplíe nuestras capacidades a la hora de abordar tareas. El desarrollo de aplicaciones web es uno de los ejemplos prácticos que se trabajan: ¿cómo hacerlo?, ¿qué características debe cultivar quien desarrolla?, ¿cómo se transforma la figura del ingeniero tradicional en la de un auténtico gestor del proceso?</w:t>
            </w:r>
          </w:p>
        </w:tc>
        <w:tc>
          <w:tcPr>
            <w:tcW w:type="dxa" w:w="4675"/>
            <w:tcMar>
              <w:top w:type="dxa" w:w="100"/>
              <w:left w:type="dxa" w:w="120"/>
              <w:bottom w:type="dxa" w:w="100"/>
              <w:right w:type="dxa" w:w="120"/>
            </w:tcMar>
            <w:vAlign w:val="top"/>
          </w:tcPr>
          <w:p>
            <w:r>
              <w:rPr>
                <w:b w:val="false"/>
                <w:bCs w:val="false"/>
              </w:rPr>
              <w:t xml:space="preserve">Among the course's underlying ideas is using artificial intelligence appropriately and effectively to learn any subject, regardless of its difficulty, or to gain a "second brain" that extends our abilities when tackling tasks. Web application development is one of the practical examples used: how should it be done? What traits should a developer cultivate? How does the traditional engineer figure transform into a genuine manager of the process?</w:t>
            </w:r>
          </w:p>
        </w:tc>
      </w:tr>
      <w:tr>
        <w:tc>
          <w:tcPr>
            <w:tcW w:type="dxa" w:w="4675"/>
            <w:shd w:fill="EAF1FA" w:val="clear"/>
            <w:tcMar>
              <w:top w:type="dxa" w:w="100"/>
              <w:left w:type="dxa" w:w="120"/>
              <w:bottom w:type="dxa" w:w="100"/>
              <w:right w:type="dxa" w:w="120"/>
            </w:tcMar>
            <w:vAlign w:val="top"/>
          </w:tcPr>
          <w:p>
            <w:r>
              <w:rPr>
                <w:b/>
                <w:bCs/>
                <w:color w:val="2E74B5"/>
              </w:rPr>
              <w:t xml:space="preserve">El bucle</w:t>
            </w:r>
          </w:p>
        </w:tc>
        <w:tc>
          <w:tcPr>
            <w:tcW w:type="dxa" w:w="4675"/>
            <w:shd w:fill="EAF1FA" w:val="clear"/>
            <w:tcMar>
              <w:top w:type="dxa" w:w="100"/>
              <w:left w:type="dxa" w:w="120"/>
              <w:bottom w:type="dxa" w:w="100"/>
              <w:right w:type="dxa" w:w="120"/>
            </w:tcMar>
            <w:vAlign w:val="top"/>
          </w:tcPr>
          <w:p>
            <w:r>
              <w:rPr>
                <w:b/>
                <w:bCs/>
                <w:color w:val="2E74B5"/>
              </w:rPr>
              <w:t xml:space="preserve">The loop</w:t>
            </w:r>
          </w:p>
        </w:tc>
      </w:tr>
      <w:tr>
        <w:tc>
          <w:tcPr>
            <w:tcW w:type="dxa" w:w="4675"/>
            <w:tcMar>
              <w:top w:type="dxa" w:w="100"/>
              <w:left w:type="dxa" w:w="120"/>
              <w:bottom w:type="dxa" w:w="100"/>
              <w:right w:type="dxa" w:w="120"/>
            </w:tcMar>
            <w:vAlign w:val="top"/>
          </w:tcPr>
          <w:p>
            <w:r>
              <w:rPr>
                <w:b w:val="false"/>
                <w:bCs w:val="false"/>
              </w:rPr>
              <w:t xml:space="preserve">Una idea recurrente del curso es que todo es un bucle, con un principio y un final, como la propia vida. Aprender a trabajar con la IA nos introduce dentro de ese ciclo, en vez de dejarnos fuera de él observando cómo ocurre.</w:t>
            </w:r>
          </w:p>
        </w:tc>
        <w:tc>
          <w:tcPr>
            <w:tcW w:type="dxa" w:w="4675"/>
            <w:tcMar>
              <w:top w:type="dxa" w:w="100"/>
              <w:left w:type="dxa" w:w="120"/>
              <w:bottom w:type="dxa" w:w="100"/>
              <w:right w:type="dxa" w:w="120"/>
            </w:tcMar>
            <w:vAlign w:val="top"/>
          </w:tcPr>
          <w:p>
            <w:r>
              <w:rPr>
                <w:b w:val="false"/>
                <w:bCs w:val="false"/>
              </w:rPr>
              <w:t xml:space="preserve">A recurring idea in the course is that everything is a loop, with a beginning and an end, just like life itself. Learning to work with AI brings us inside that cycle, rather than leaving us outside it watching it happen.</w:t>
            </w:r>
          </w:p>
        </w:tc>
      </w:tr>
      <w:tr>
        <w:tc>
          <w:tcPr>
            <w:tcW w:type="dxa" w:w="4675"/>
            <w:shd w:fill="EAF1FA" w:val="clear"/>
            <w:tcMar>
              <w:top w:type="dxa" w:w="100"/>
              <w:left w:type="dxa" w:w="120"/>
              <w:bottom w:type="dxa" w:w="100"/>
              <w:right w:type="dxa" w:w="120"/>
            </w:tcMar>
            <w:vAlign w:val="top"/>
          </w:tcPr>
          <w:p>
            <w:r>
              <w:rPr>
                <w:b/>
                <w:bCs/>
                <w:color w:val="2E74B5"/>
              </w:rPr>
              <w:t xml:space="preserve">Por qué este proyecto, a título personal</w:t>
            </w:r>
          </w:p>
        </w:tc>
        <w:tc>
          <w:tcPr>
            <w:tcW w:type="dxa" w:w="4675"/>
            <w:shd w:fill="EAF1FA" w:val="clear"/>
            <w:tcMar>
              <w:top w:type="dxa" w:w="100"/>
              <w:left w:type="dxa" w:w="120"/>
              <w:bottom w:type="dxa" w:w="100"/>
              <w:right w:type="dxa" w:w="120"/>
            </w:tcMar>
            <w:vAlign w:val="top"/>
          </w:tcPr>
          <w:p>
            <w:r>
              <w:rPr>
                <w:b/>
                <w:bCs/>
                <w:color w:val="2E74B5"/>
              </w:rPr>
              <w:t xml:space="preserve">Why this project, on a personal note</w:t>
            </w:r>
          </w:p>
        </w:tc>
      </w:tr>
      <w:tr>
        <w:tc>
          <w:tcPr>
            <w:tcW w:type="dxa" w:w="4675"/>
            <w:tcMar>
              <w:top w:type="dxa" w:w="100"/>
              <w:left w:type="dxa" w:w="120"/>
              <w:bottom w:type="dxa" w:w="100"/>
              <w:right w:type="dxa" w:w="120"/>
            </w:tcMar>
            <w:vAlign w:val="top"/>
          </w:tcPr>
          <w:p>
            <w:r>
              <w:rPr>
                <w:b w:val="false"/>
                <w:bCs w:val="false"/>
              </w:rPr>
              <w:t xml:space="preserve">Con 72 años cumplidos, la idea de entrar en ese ciclo me satisface enormemente, y es, en el fondo, lo que justifica para mí haber hecho este curso. A lo largo de mi vida he estudiado mucho y me ha gustado estudiar, he obtenido varios títulos universitarios, diplomas de experto universitario y bastantes MOOCs, siempre alimentando la curiosidad por las cosas. Sinceramente, desde hace unos años pensaba que ya no volvería a estudiar nada de forma reglada, y que mi curiosidad se conformaría con lecturas sueltas, "ad hoc".</w:t>
            </w:r>
          </w:p>
        </w:tc>
        <w:tc>
          <w:tcPr>
            <w:tcW w:type="dxa" w:w="4675"/>
            <w:tcMar>
              <w:top w:type="dxa" w:w="100"/>
              <w:left w:type="dxa" w:w="120"/>
              <w:bottom w:type="dxa" w:w="100"/>
              <w:right w:type="dxa" w:w="120"/>
            </w:tcMar>
            <w:vAlign w:val="top"/>
          </w:tcPr>
          <w:p>
            <w:r>
              <w:rPr>
                <w:b w:val="false"/>
                <w:bCs w:val="false"/>
              </w:rPr>
              <w:t xml:space="preserve">Having just turned 72, the idea of entering that cycle satisfies me enormously, and is, at bottom, what justifies for me having taken this course. Throughout my life I have studied a great deal and enjoyed studying, I have earned several university degrees, university expert diplomas, and quite a few MOOCs, always feeding my curiosity about things. Honestly, for some years I had thought I would never formally study anything again, and that my curiosity would be satisfied with ad hoc reading here and there.</w:t>
            </w:r>
          </w:p>
        </w:tc>
      </w:tr>
      <w:tr>
        <w:tc>
          <w:tcPr>
            <w:tcW w:type="dxa" w:w="4675"/>
            <w:tcMar>
              <w:top w:type="dxa" w:w="100"/>
              <w:left w:type="dxa" w:w="120"/>
              <w:bottom w:type="dxa" w:w="100"/>
              <w:right w:type="dxa" w:w="120"/>
            </w:tcMar>
            <w:vAlign w:val="top"/>
          </w:tcPr>
          <w:p>
            <w:r>
              <w:rPr>
                <w:b w:val="false"/>
                <w:bCs w:val="false"/>
              </w:rPr>
              <w:t xml:space="preserve">En uno de esos MOOCs coincidí con Phillip Compeau, que impartía un curso de bioinformática especializado en genética. Como en 1974 había cursado, como asignatura optativa, "Informática Médica", la curiosidad pudo conmigo, y me embarqué en conocer esas cadenas de proteínas tan complejas: la división de los genes, la búsqueda de la "llave" que permite que las células se dividan manteniendo su identidad genética, su degeneración desde tumores benignos hasta cancerosos, la intervención del azar, los algoritmos en Python... Sentirme cómodo en un tema tan alejado de mis conocimientos previos fue lo que me decidió a conocer también su forma de abordar la inteligencia artificial, sobre la que ya había estudiado algo en los años setenta y posteriormente en algún MOOC.</w:t>
            </w:r>
          </w:p>
        </w:tc>
        <w:tc>
          <w:tcPr>
            <w:tcW w:type="dxa" w:w="4675"/>
            <w:tcMar>
              <w:top w:type="dxa" w:w="100"/>
              <w:left w:type="dxa" w:w="120"/>
              <w:bottom w:type="dxa" w:w="100"/>
              <w:right w:type="dxa" w:w="120"/>
            </w:tcMar>
            <w:vAlign w:val="top"/>
          </w:tcPr>
          <w:p>
            <w:r>
              <w:rPr>
                <w:b w:val="false"/>
                <w:bCs w:val="false"/>
              </w:rPr>
              <w:t xml:space="preserve">In one of those MOOCs I crossed paths with Phillip Compeau, who was teaching a bioinformatics course specializing in genetics. Since in 1974 I had taken, as an elective, "Medical Informatics," curiosity got the better of me, and I set out to learn about those hugely complex protein chains: gene division, the search for the "key" that allows cells to divide while keeping their genetic identity, their degeneration from benign to cancerous tumors, the role of chance, algorithms in Python... Feeling at ease with a subject so far from my prior knowledge is what led me to also get to know his approach to artificial intelligence, a subject I had already studied a little back in the seventies and later in some MOOC.</w:t>
            </w:r>
          </w:p>
        </w:tc>
      </w:tr>
      <w:tr>
        <w:tc>
          <w:tcPr>
            <w:tcW w:type="dxa" w:w="4675"/>
            <w:tcMar>
              <w:top w:type="dxa" w:w="100"/>
              <w:left w:type="dxa" w:w="120"/>
              <w:bottom w:type="dxa" w:w="100"/>
              <w:right w:type="dxa" w:w="120"/>
            </w:tcMar>
            <w:vAlign w:val="top"/>
          </w:tcPr>
          <w:p>
            <w:r>
              <w:rPr>
                <w:b w:val="false"/>
                <w:bCs w:val="false"/>
              </w:rPr>
              <w:t xml:space="preserve">Claro que el ciclo es hoy muy distinto. Ha habido muchos bucles desde el ciclo de la programación con ensambladores, COBOL, Fortran IV, Algol 68, y ahora el ciclo actual de la inteligencia artificial. Gracias, Phillip, por tu curso — creo que estoy aprendiendo algunas cosas que no esperaba.</w:t>
            </w:r>
          </w:p>
        </w:tc>
        <w:tc>
          <w:tcPr>
            <w:tcW w:type="dxa" w:w="4675"/>
            <w:tcMar>
              <w:top w:type="dxa" w:w="100"/>
              <w:left w:type="dxa" w:w="120"/>
              <w:bottom w:type="dxa" w:w="100"/>
              <w:right w:type="dxa" w:w="120"/>
            </w:tcMar>
            <w:vAlign w:val="top"/>
          </w:tcPr>
          <w:p>
            <w:r>
              <w:rPr>
                <w:b w:val="false"/>
                <w:bCs w:val="false"/>
              </w:rPr>
              <w:t xml:space="preserve">Of course, the cycle today is very different. There have been many loops since the cycle of programming in assembler, COBOL, Fortran IV, Algol 68, and now today's cycle of artificial intelligence. Thank you, Phillip, for your course — I think I'm learning some things I didn't expect to.</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2026-07-20T05:22:53.843Z</dcterms:created>
  <dcterms:modified xsi:type="dcterms:W3CDTF">2026-07-20T05:22:53.856Z</dcterms:modified>
</cp:coreProperties>
</file>

<file path=docProps/custom.xml><?xml version="1.0" encoding="utf-8"?>
<Properties xmlns="http://schemas.openxmlformats.org/officeDocument/2006/custom-properties" xmlns:vt="http://schemas.openxmlformats.org/officeDocument/2006/docPropsVTypes"/>
</file>