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1F3864"/>
          <w:sz w:val="36"/>
          <w:szCs w:val="36"/>
        </w:rPr>
        <w:t xml:space="preserve">Observations — Fondo IA</w:t>
      </w:r>
    </w:p>
    <w:p>
      <w:pPr>
        <w:spacing w:after="120"/>
      </w:pPr>
      <w:r>
        <w:t xml:space="preserve">This document records, in chronological order, the observations, comments, hypotheses and small experiments made about the model's behavior as the application is tested. It does not replace the specifications document (which records the rules already decided), but serves as a logbook for the learning process about the program and about the market itself.</w:t>
      </w:r>
    </w:p>
    <w:p>
      <w:pPr>
        <w:spacing w:after="120" w:before="240"/>
      </w:pPr>
      <w:r>
        <w:rPr>
          <w:b/>
          <w:bCs/>
          <w:color w:val="1F3864"/>
          <w:sz w:val="28"/>
          <w:szCs w:val="28"/>
        </w:rPr>
        <w:t xml:space="preserve">July 17, 2026 — Is it worth optimizing the penalty factor?</w:t>
      </w:r>
    </w:p>
    <w:p>
      <w:pPr>
        <w:spacing w:after="120"/>
      </w:pPr>
      <w:r>
        <w:t xml:space="preserve">With the penalty factor fixed at 2 (the original value, chosen arbitrarily), the total return obtained by the model over the 20-session window is -5.591%, while the Dow Jones index itself had a small but positive gain over that same period.</w:t>
      </w:r>
    </w:p>
    <w:p>
      <w:pPr>
        <w:spacing w:after="120"/>
      </w:pPr>
      <w:r>
        <w:t xml:space="preserve">When the application is allowed to automatically search for the factor that maximizes the return of the previous portfolios (the genuinely achievable part of the model), the factor moves from 2 to 0.7, and the model's return improves substantially to +6.004%. The difference is more than 11 percentage points between one factor and the other.</w:t>
      </w:r>
    </w:p>
    <w:p>
      <w:pPr>
        <w:spacing w:after="120"/>
      </w:pPr>
      <w:r>
        <w:t xml:space="preserve">Initial hypothesis: it does seem clearly beneficial to let the model optimize the penalty factor rather than fixing it arbitrarily in advance. It remains to be checked whether this conclusion holds on other dates and different 20-session windows before considering it established.</w:t>
      </w:r>
    </w:p>
    <w:p>
      <w:pPr>
        <w:spacing w:after="120" w:before="240"/>
      </w:pPr>
      <w:r>
        <w:rPr>
          <w:b/>
          <w:bCs/>
          <w:color w:val="1F3864"/>
          <w:sz w:val="28"/>
          <w:szCs w:val="28"/>
        </w:rPr>
        <w:t xml:space="preserve">What about the number of portfolio components?</w:t>
      </w:r>
    </w:p>
    <w:p>
      <w:pPr>
        <w:spacing w:after="120"/>
      </w:pPr>
      <w:r>
        <w:t xml:space="preserve">Keeping the penalty factor fixed at 2, but changing the number of components from 5 (the starting value) to 4, the return function goes from -5.591% to +4.717%: an improvement of more than 10 percentage points just by adjusting how many stocks make up the portfolio.</w:t>
      </w:r>
    </w:p>
    <w:p>
      <w:pPr>
        <w:spacing w:after="120"/>
      </w:pPr>
      <w:r>
        <w:t xml:space="preserve">Letting the application optimize both the penalty factor (which moves to 0.7) and the number of components (which moves to 4) at the same time, the return function rises to +7.822% — the best combination tried so far, and well above both the starting point (factor 2, 5 components) and optimizing a single variable on its own.</w:t>
      </w:r>
    </w:p>
    <w:p>
      <w:pPr>
        <w:spacing w:after="120"/>
      </w:pPr>
      <w:r>
        <w:t xml:space="preserve">This reinforces the hypothesis: letting the model optimize the number of components, in addition to the factor, also seems beneficial. It remains to be checked whether this conclusion holds on other dates.</w:t>
      </w:r>
    </w:p>
    <w:p>
      <w:pPr>
        <w:spacing w:after="120" w:before="240"/>
      </w:pPr>
      <w:r>
        <w:rPr>
          <w:b/>
          <w:bCs/>
          <w:color w:val="1F3864"/>
          <w:sz w:val="28"/>
          <w:szCs w:val="28"/>
        </w:rPr>
        <w:t xml:space="preserve">What about the diversification cap?</w:t>
      </w:r>
    </w:p>
    <w:p>
      <w:pPr>
        <w:spacing w:after="120"/>
      </w:pPr>
      <w:r>
        <w:t xml:space="preserve">Optimizing only the diversification cap (leaving the factor at 2 and the number of components at 5, the starting values), the return improves from -5.591% to -1.145%: a clear improvement, although the result is still negative.</w:t>
      </w:r>
    </w:p>
    <w:p>
      <w:pPr>
        <w:spacing w:after="120"/>
      </w:pPr>
      <w:r>
        <w:t xml:space="preserve">Optimizing the penalty factor first (which moves to 0.7) and then the diversification cap (with 5 components), the optimal cap turns out to be 45% instead of the starting 40%, and the return rises to +6.108%.</w:t>
      </w:r>
    </w:p>
    <w:p>
      <w:pPr>
        <w:spacing w:after="120"/>
      </w:pPr>
      <w:r>
        <w:t xml:space="preserve">Optimizing the full chain in order (factor → 0.7; number of components → 4; diversification cap, calculated next), the optimal cap stays unchanged at the starting 40%, and the final return is +7.822% — exactly the same result obtained by optimizing only the factor and the number of components, without touching the cap. This confirms that, in that specific combination (factor 0.7, 4 components), the 40% cap never becomes an active constraint: no component needs to exceed it, so changing its value doesn't affect the result.</w:t>
      </w:r>
    </w:p>
    <w:p>
      <w:pPr>
        <w:spacing w:after="120"/>
      </w:pPr>
      <w:r>
        <w:t xml:space="preserve">Provisional conclusion: the diversification cap can indeed bring improvements on its own or combined with the factor, but its effect depends on whether it actually acts as a binding constraint in each combination of the other variables — it isn't always decisive.</w:t>
      </w:r>
    </w:p>
    <w:p>
      <w:pPr>
        <w:spacing w:after="120" w:before="240"/>
      </w:pPr>
      <w:r>
        <w:rPr>
          <w:b/>
          <w:bCs/>
          <w:color w:val="1F3864"/>
          <w:sz w:val="28"/>
          <w:szCs w:val="28"/>
        </w:rPr>
        <w:t xml:space="preserve">What about the distribution of freed-up weight?</w:t>
      </w:r>
    </w:p>
    <w:p>
      <w:pPr>
        <w:spacing w:after="120"/>
      </w:pPr>
      <w:r>
        <w:t xml:space="preserve">A "proportional" method was tried for distributing freed-up weight (instead of splitting it equally, distributing it according to each component's score that day). The result: it doesn't improve anything, whether tried alone or combined with the other variables already optimized.</w:t>
      </w:r>
    </w:p>
    <w:p>
      <w:pPr>
        <w:spacing w:after="120"/>
      </w:pPr>
      <w:r>
        <w:t xml:space="preserve">As a result, a third method, "free", was introduced, which gives all the freed-up weight to the component with the best known return the following day. By construction, this method always matches or beats the others, precisely because it uses information (tomorrow's price) that would not be available for a real decision made today. That is why it has been left out of the automatic "selection chain" (which aims to show a realistic expectation), and remains available only to explore manually, as a reference for the model's theoretical upper bound.</w:t>
      </w:r>
    </w:p>
    <w:p>
      <w:pPr>
        <w:spacing w:after="120"/>
      </w:pPr>
      <w:r>
        <w:t xml:space="preserve">Conclusion: among the genuinely executable methods (fixed and proportional), optimizing the allocation of freed-up weight brings no benefit to the function that defines the fund's maximum return. Unlike the penalty factor, the number of components, or the diversification cap — which did show improvements when the AI was allowed to adjust them — this particular variable seems indifferent to the result.</w:t>
      </w:r>
    </w:p>
    <w:p>
      <w:pPr>
        <w:spacing w:after="120" w:before="240"/>
      </w:pPr>
      <w:r>
        <w:rPr>
          <w:b/>
          <w:bCs/>
          <w:color w:val="1F3864"/>
          <w:sz w:val="28"/>
          <w:szCs w:val="28"/>
        </w:rPr>
        <w:t xml:space="preserve">Critical review — the wildcard fill-in criterion</w:t>
      </w:r>
    </w:p>
    <w:p>
      <w:pPr>
        <w:spacing w:after="120"/>
      </w:pPr>
      <w:r>
        <w:t xml:space="preserve">While reviewing the selection rules from the start, a second sign-related anomaly was found, of the same kind already fixed in the increment-product rule ("negative times negative gives positive"). When the portfolio needs to be filled with score-0 components ("wildcards"), the original criterion ranked them by the 2nd derivative (the ratio today's change / yesterday's change). But dividing by a negative change flips the sign of the result, which could place an accelerating decline ahead of a stock that had already turned positive — exactly the opposite of what is desirable.</w:t>
      </w:r>
    </w:p>
    <w:p>
      <w:pPr>
        <w:spacing w:after="120"/>
      </w:pPr>
      <w:r>
        <w:t xml:space="preserve">Correction applied: wildcards are now ranked directly by TODAY's change (from highest to lowest), without using any ratio. With two additional tie-breaks to guarantee an always-deterministic result: 2nd, yesterday's change (highest to lowest); 3rd, the ticker's alphabetical order. With this, a stock that has already turned positive today (even if it fell yesterday) always ranks ahead of one that is still falling today, and among those still falling, the one that fell the least is prioritized.</w:t>
      </w:r>
    </w:p>
    <w:p>
      <w:pPr>
        <w:spacing w:after="120" w:before="240"/>
      </w:pPr>
      <w:r>
        <w:rPr>
          <w:b/>
          <w:bCs/>
          <w:color w:val="1F3864"/>
          <w:sz w:val="28"/>
          <w:szCs w:val="28"/>
        </w:rPr>
        <w:t xml:space="preserve">What about the EMA smoothing (alpha)?</w:t>
      </w:r>
    </w:p>
    <w:p>
      <w:pPr>
        <w:spacing w:after="120"/>
      </w:pPr>
      <w:r>
        <w:t xml:space="preserve">Optimizing the smoothing factor alpha (Option A: EMA_today × EMA_yesterday-based scoring) does not guarantee an improvement in the final result obtained. Unlike the penalty factor, the number of components, or the diversification cap, whose optimization did show clear improvements, the effect of smoothing the score with memory from earlier sessions does not consistently translate into a higher return.</w:t>
      </w:r>
    </w:p>
    <w:p>
      <w:pPr>
        <w:spacing w:after="120" w:before="240"/>
      </w:pPr>
      <w:r>
        <w:rPr>
          <w:b/>
          <w:bCs/>
          <w:color w:val="1F3864"/>
          <w:sz w:val="28"/>
          <w:szCs w:val="28"/>
        </w:rPr>
        <w:t xml:space="preserve">What about the backtest length (window size)?</w:t>
      </w:r>
    </w:p>
    <w:p>
      <w:pPr>
        <w:spacing w:after="120"/>
      </w:pPr>
      <w:r>
        <w:t xml:space="preserve">The results of changing the backtest window length (10, 15, 20, 30, 40 or 60 sessions) are uncertain: no clear pattern is observed of longer or shorter windows systematically improving the return function.</w:t>
      </w:r>
    </w:p>
    <w:p>
      <w:pPr>
        <w:spacing w:after="120" w:before="240"/>
      </w:pPr>
      <w:r>
        <w:rPr>
          <w:b/>
          <w:bCs/>
          <w:color w:val="1F3864"/>
          <w:sz w:val="28"/>
          <w:szCs w:val="28"/>
        </w:rPr>
        <w:t xml:space="preserve">July 20, 2026 — Cross-checking prices</w:t>
      </w:r>
    </w:p>
    <w:p>
      <w:pPr>
        <w:spacing w:after="120"/>
      </w:pPr>
      <w:r>
        <w:t xml:space="preserve">The price shown by the application ("Price" column) for IBM, CAT, CVX and TRV was compared against the price of the same stock from an external source (Google search) at a nearby point in time. The values matched within a few cents (e.g. IBM 214.61 vs. 214.64; CAT 862.4 vs. 862.75; CVX 189.88 vs. 189.90; TRV 365.89 vs. 365.77), explainable by the small lag in seconds between captures while the market was open.</w:t>
      </w:r>
    </w:p>
    <w:p>
      <w:pPr>
        <w:spacing w:after="120"/>
      </w:pPr>
      <w:r>
        <w:t xml:space="preserve">Conclusion: this cross-check confirms the consistency of the quote data used by the application (via yahoo-finance2) against an independent, real-time source.</w:t>
      </w:r>
    </w:p>
    <w:p>
      <w:pPr>
        <w:spacing w:after="120" w:before="240"/>
      </w:pPr>
      <w:r>
        <w:rPr>
          <w:b/>
          <w:bCs/>
          <w:color w:val="1F3864"/>
          <w:sz w:val="28"/>
          <w:szCs w:val="28"/>
        </w:rPr>
        <w:t xml:space="preserve">July 23, 2026 — Does selection by price, volume or money flow add value over random choice?</w:t>
      </w:r>
    </w:p>
    <w:p>
      <w:pPr>
        <w:spacing w:after="120"/>
      </w:pPr>
      <w:r>
        <w:t xml:space="preserve">Three portfolio-selection criteria — by price, by volume, and by money flow (price × volume) — were systematically compared against a random selection, repeating the test across different period lengths (roughly 2 weeks to 3 months) and several independent samples for each length.</w:t>
      </w:r>
    </w:p>
    <w:p>
      <w:pPr>
        <w:spacing w:after="120"/>
      </w:pPr>
      <w:r>
        <w:t xml:space="preserve">Main result: none of the three criteria consistently and clearly beats the random selection. In most tests, their return falls within the same range of variation already produced by simply picking stocks with no criterion at all. The result holds whether or not the model's other parameters are fully optimized.</w:t>
      </w:r>
    </w:p>
    <w:p>
      <w:pPr>
        <w:spacing w:after="120"/>
      </w:pPr>
      <w:r>
        <w:t xml:space="preserve">What this means: with the data available (30 Dow Jones stocks, periods of a few weeks or months), these simple signals show no solid evidence of real predictive advantage over picking at random. It's a negative finding, but an honest and valuable one — it shows the rigor of testing against a random control instead of just trusting that something “looks like it's working”.</w:t>
      </w:r>
    </w:p>
    <w:p>
      <w:pPr>
        <w:spacing w:after="120"/>
      </w:pPr>
      <w:r>
        <w:t xml:space="preserve">Important caveat: with so little data, results vary quite a bit from one test to another, so this isn't a final, closed conclusion — it's the current snapshot, obtained with an honest method, which can be refined with more data and indicators going forward.</w:t>
      </w:r>
    </w:p>
    <w:p>
      <w:pPr>
        <w:spacing w:after="120" w:before="240"/>
      </w:pPr>
      <w:r>
        <w:rPr>
          <w:b/>
          <w:bCs/>
          <w:color w:val="1F3864"/>
          <w:sz w:val="28"/>
          <w:szCs w:val="28"/>
        </w:rPr>
        <w:t xml:space="preserve">Last week of July 2026 — Selection by fundamental criteria</w:t>
      </w:r>
    </w:p>
    <w:p>
      <w:pPr>
        <w:spacing w:after="120"/>
      </w:pPr>
      <w:r>
        <w:t xml:space="preserve">Selection by fundamental criteria has been tested — although we cannot know their past values, we can assume they change little and remain roughly stable over the period considered up to today. It has been generalized to several stock market indices.</w:t>
      </w:r>
    </w:p>
    <w:p>
      <w:pPr>
        <w:spacing w:after="120" w:before="240"/>
      </w:pPr>
      <w:r>
        <w:rPr>
          <w:b/>
          <w:bCs/>
          <w:color w:val="1F3864"/>
          <w:sz w:val="28"/>
          <w:szCs w:val="28"/>
        </w:rPr>
        <w:t xml:space="preserve">First week of August 2026 — Multi-factor model and replica model</w:t>
      </w:r>
    </w:p>
    <w:p>
      <w:pPr>
        <w:spacing w:after="120"/>
      </w:pPr>
      <w:r>
        <w:t xml:space="preserve">A multi-factor linear regression has been carried out. In no case did the result clearly separate from a random selection. The strong or weak form of the market efficiency principle appears to hold in financial markets.</w:t>
      </w:r>
    </w:p>
    <w:p>
      <w:pPr>
        <w:spacing w:after="120"/>
      </w:pPr>
      <w:r>
        <w:t xml:space="preserve">A model replicating the index being worked with has been implemented.</w:t>
      </w:r>
    </w:p>
    <w:p>
      <w:pPr>
        <w:spacing w:after="120"/>
      </w:pPr>
      <w:r>
        <w:t xml:space="preserve">The user interface has been improved.</w:t>
      </w:r>
    </w:p>
    <w:p>
      <w:pPr>
        <w:spacing w:after="120"/>
      </w:pPr>
      <w:r>
        <w:t xml:space="preserve">The specifications and observations documents are being completed.</w:t>
      </w:r>
    </w:p>
    <w:p>
      <w:pPr>
        <w:spacing w:after="120" w:before="240"/>
      </w:pPr>
      <w:r>
        <w:rPr>
          <w:b/>
          <w:bCs/>
          <w:color w:val="1F3864"/>
          <w:sz w:val="28"/>
          <w:szCs w:val="28"/>
        </w:rPr>
        <w:t xml:space="preserve">Second week of August 2026 — Correlation of components with their weight in the index</w:t>
      </w:r>
    </w:p>
    <w:p>
      <w:pPr>
        <w:spacing w:after="120"/>
      </w:pPr>
      <w:r>
        <w:t xml:space="preserve">A tool was built to answer a specific question: do stocks with more weight in an index correlate more with its movement? The answer, once the mechanical effect is removed, is NO: weight does not predict correlation.</w:t>
      </w:r>
    </w:p>
    <w:p>
      <w:pPr>
        <w:spacing w:after="120"/>
      </w:pPr>
      <w:r>
        <w:t xml:space="preserve">The most useful finding, however, is methodological. A stock's raw correlation with its index is heavily contaminated by that stock's own weight: a heavily-weighted component already "is", in part, the index itself, and correlates with itself. To measure it properly, its contribution has to be subtracted from the index and what remains rescaled — doing so, Goldman Sachs's correlation in the Dow Jones drops from 0.71 to 0.51; SAP's in the DAX, from 0.37 to 0.17; ASML's in the AEX, from 0.78 to 0.40. Any analysis using "correlation with the index" without this correction would largely be measuring weight in disguise.</w:t>
      </w:r>
    </w:p>
    <w:p>
      <w:pPr>
        <w:spacing w:after="120"/>
      </w:pPr>
      <w:r>
        <w:t xml:space="preserve">Other patterns observed, with 180-session windows and no settled explanation: the three large European oil companies (TotalEnergies in the CAC 40, Shell in the AEX, Eni in the MIB) show negative correlation and beta consistently across all three time scales measured — the same sector, in three different markets, moving against its own index. And several very large stocks (Apple, Microsoft, Unilever) appear practically decoupled from their index, with correlations close to zero.</w:t>
      </w:r>
    </w:p>
    <w:p>
      <w:pPr>
        <w:spacing w:after="120"/>
      </w:pPr>
      <w:r>
        <w:t xml:space="preserve">On whether these measures are useful for a predictive model: correlation and beta are descriptive, not predictive — they describe how a stock has moved in the past, just like the momentum or dispersion already in use. Adding them to a model that has already failed with variables of the same kind doesn't look promising. Where they can contribute is as a measure of RISK (beta indicates how much a stock amplifies the index's movements), for instance to diagnose the volatility of an already-built portfolio, which is a different question and a more attainable one than predicting who will rise most.</w:t>
      </w:r>
    </w:p>
    <w:p>
      <w:pPr>
        <w:spacing w:after="120" w:before="240"/>
      </w:pPr>
      <w:r>
        <w:rPr>
          <w:b/>
          <w:bCs/>
          <w:color w:val="1F3864"/>
          <w:sz w:val="28"/>
          <w:szCs w:val="28"/>
        </w:rPr>
        <w:t xml:space="preserve">Second week of August 2026 — Persistence of relative ranking</w:t>
      </w:r>
    </w:p>
    <w:p>
      <w:pPr>
        <w:spacing w:after="120"/>
      </w:pPr>
      <w:r>
        <w:t xml:space="preserve">A second question along the same line: after some time, some stocks have done better than others — do those on top in one window stay on top in the next, or does the ranking reshuffle every time? It's measured with the Spearman correlation between the rankings of consecutive NON-OVERLAPPING windows (if they overlapped, they'd share nearly all their sessions and the correlation would come out high purely by construction), testing the first six Fibonacci lengths at once: 1, 2, 3, 5, 8 and 13 sessions.</w:t>
      </w:r>
    </w:p>
    <w:p>
      <w:pPr>
        <w:spacing w:after="120"/>
      </w:pPr>
      <w:r>
        <w:t xml:space="preserve">Result: in the overall correlation (Spearman), no index separates from what chance produces — the general ranking reshuffles. At the extremes (the top and bottom 10% of each window) the only notable exception is the Nasdaq 100, with matches at the top close to double what chance would give and, most relevantly, consistently so across all six lengths and replicated over two different periods (114 and 244 sessions). No individual measure exceeds the formal threshold of 2 standard deviations, but the consistency of the whole is harder to attribute to chance than any single figure.</w:t>
      </w:r>
    </w:p>
    <w:p>
      <w:pPr>
        <w:spacing w:after="120"/>
      </w:pPr>
      <w:r>
        <w:t xml:space="preserve">A methodological caution learned along the way: at first, matches at the extremes were only compared against their expected value by chance, without measuring how much they VARY by chance. Adding that spread revealed it to be very large (with purely random data, matches of 0.265 with a spread of ±0.489), so differences that looked striking at first glance fall squarely within the normal range. Without that reference, it's easy to read as a finding what is only noise.</w:t>
      </w:r>
    </w:p>
    <w:p>
      <w:pPr>
        <w:spacing w:after="120"/>
      </w:pPr>
      <w:r>
        <w:t xml:space="preserve">It remains open whether the Nasdaq's persistence reflects that "the good ones stay good" or, more likely, that a handful of highly volatile stocks (the semiconductor and AI block, with betas of 2.5 to 3.5) monopolize the extremes over and over — top when their sector rises, bottom when it corrects. The second explanation would produce the same numbers without being an exploitable edge, and to tell them apart a count of which specific stocks occupy the extremes, and with what concentration, has been added to the tool.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2026-08-06T07:35:39.338Z</dcterms:created>
  <dcterms:modified xsi:type="dcterms:W3CDTF">2026-08-06T07:35:39.338Z</dcterms:modified>
</cp:coreProperties>
</file>

<file path=docProps/custom.xml><?xml version="1.0" encoding="utf-8"?>
<Properties xmlns="http://schemas.openxmlformats.org/officeDocument/2006/custom-properties" xmlns:vt="http://schemas.openxmlformats.org/officeDocument/2006/docPropsVTypes"/>
</file>