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IA PARA FI DOW JONES</w:t>
      </w:r>
    </w:p>
    <w:p>
      <w:pPr>
        <w:spacing w:after="60"/>
      </w:pPr>
      <w:r>
        <w:rPr>
          <w:i/>
          <w:iCs/>
          <w:color w:val="2E74B5"/>
          <w:sz w:val="24"/>
          <w:szCs w:val="24"/>
        </w:rPr>
        <w:t xml:space="preserve">Fondo creado por IA sobre un índice — Documento de especificaciones / AI-built fund over an index — Specifications document</w:t>
      </w:r>
    </w:p>
    <w:p>
      <w:pPr>
        <w:spacing w:after="300"/>
      </w:pPr>
      <w:r>
        <w:rPr>
          <w:color w:val="6B6B6B"/>
          <w:sz w:val="20"/>
          <w:szCs w:val="20"/>
        </w:rPr>
        <w:t xml:space="preserve">Versión 1 — Julio 2026 / Version 1 — July 2026 — Documento bilingüe (español / English)</w:t>
      </w:r>
    </w:p>
    <w:p>
      <w:pPr>
        <w:pBdr>
          <w:bottom w:val="single" w:color="BFBFBF" w:sz="6" w:space="1"/>
        </w:pBd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shd w:fill="1F3864" w:val="clear"/>
            <w:tcMar>
              <w:top w:type="dxa" w:w="100"/>
              <w:left w:type="dxa" w:w="120"/>
              <w:bottom w:type="dxa" w:w="100"/>
              <w:right w:type="dxa" w:w="120"/>
            </w:tcMar>
            <w:vAlign w:val="top"/>
          </w:tcPr>
          <w:p>
            <w:r>
              <w:rPr>
                <w:b/>
                <w:bCs/>
                <w:color w:val="FFFFFF"/>
              </w:rPr>
              <w:t xml:space="preserve">ESPAÑOL</w:t>
            </w:r>
          </w:p>
        </w:tc>
        <w:tc>
          <w:tcPr>
            <w:tcW w:type="dxa" w:w="4675"/>
            <w:shd w:fill="1F3864" w:val="clear"/>
            <w:tcMar>
              <w:top w:type="dxa" w:w="100"/>
              <w:left w:type="dxa" w:w="120"/>
              <w:bottom w:type="dxa" w:w="100"/>
              <w:right w:type="dxa" w:w="120"/>
            </w:tcMar>
            <w:vAlign w:val="top"/>
          </w:tcPr>
          <w:p>
            <w:r>
              <w:rPr>
                <w:b/>
                <w:bCs/>
                <w:color w:val="FFFFFF"/>
              </w:rPr>
              <w:t xml:space="preserve">ENGLISH</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 Objetivo del proyecto</w:t>
            </w:r>
          </w:p>
        </w:tc>
        <w:tc>
          <w:tcPr>
            <w:tcW w:type="dxa" w:w="4675"/>
            <w:shd w:fill="D9E2F3" w:val="clear"/>
            <w:tcMar>
              <w:top w:type="dxa" w:w="100"/>
              <w:left w:type="dxa" w:w="120"/>
              <w:bottom w:type="dxa" w:w="100"/>
              <w:right w:type="dxa" w:w="120"/>
            </w:tcMar>
            <w:vAlign w:val="top"/>
          </w:tcPr>
          <w:p>
            <w:r>
              <w:rPr>
                <w:b/>
                <w:bCs/>
                <w:color w:val="1F3864"/>
                <w:sz w:val="26"/>
                <w:szCs w:val="26"/>
              </w:rPr>
              <w:t xml:space="preserve">1. Project objective</w:t>
            </w:r>
          </w:p>
        </w:tc>
      </w:tr>
      <w:tr>
        <w:tc>
          <w:tcPr>
            <w:tcW w:type="dxa" w:w="4675"/>
            <w:tcMar>
              <w:top w:type="dxa" w:w="100"/>
              <w:left w:type="dxa" w:w="120"/>
              <w:bottom w:type="dxa" w:w="100"/>
              <w:right w:type="dxa" w:w="120"/>
            </w:tcMar>
            <w:vAlign w:val="top"/>
          </w:tcPr>
          <w:p>
            <w:r>
              <w:rPr>
                <w:b w:val="false"/>
                <w:bCs w:val="false"/>
              </w:rPr>
              <w:t xml:space="preserve">Construir una herramienta que compone automáticamente una cartera de inversión a partir de las cotizaciones — y, en algunas de sus variantes, también de datos fundamentales y del consenso de analistas — de los componentes de distintos índices bursátiles, mediante un conjunto de reglas explícitas de puntuación, selección y rebalanceo. No es un solver de optimización matemática, como la programación lineal, ni un modelo de aprendizaje automático opaco: es un sistema de reglas auditables (ver sección 3).</w:t>
            </w:r>
          </w:p>
        </w:tc>
        <w:tc>
          <w:tcPr>
            <w:tcW w:type="dxa" w:w="4675"/>
            <w:tcMar>
              <w:top w:type="dxa" w:w="100"/>
              <w:left w:type="dxa" w:w="120"/>
              <w:bottom w:type="dxa" w:w="100"/>
              <w:right w:type="dxa" w:w="120"/>
            </w:tcMar>
            <w:vAlign w:val="top"/>
          </w:tcPr>
          <w:p>
            <w:r>
              <w:rPr>
                <w:b w:val="false"/>
                <w:bCs w:val="false"/>
              </w:rPr>
              <w:t xml:space="preserve">Build a tool that automatically composes an investment portfolio from the prices — and, in some of its variants, also from fundamental data and analyst consensus — of the components of different stock market indices, using an explicit set of scoring, selection and rebalancing rules. It is not a mathematical optimization solver, such as linear programming, nor an opaque machine-learning model: it is an auditable rule-based system (see section 3).</w:t>
            </w:r>
          </w:p>
        </w:tc>
      </w:tr>
      <w:tr>
        <w:tc>
          <w:tcPr>
            <w:tcW w:type="dxa" w:w="4675"/>
            <w:tcMar>
              <w:top w:type="dxa" w:w="100"/>
              <w:left w:type="dxa" w:w="120"/>
              <w:bottom w:type="dxa" w:w="100"/>
              <w:right w:type="dxa" w:w="120"/>
            </w:tcMar>
            <w:vAlign w:val="top"/>
          </w:tcPr>
          <w:p>
            <w:r>
              <w:rPr>
                <w:b w:val="false"/>
                <w:bCs w:val="false"/>
              </w:rPr>
              <w:t xml:space="preserve">El objetivo de cada regla es maximizar el rendimiento de la cartera resultante, entendido como la suma ponderada de los incrementos de cotización de los componentes seleccionados, dentro de las reglas de diversificación y rebalanceo vigentes.</w:t>
            </w:r>
          </w:p>
        </w:tc>
        <w:tc>
          <w:tcPr>
            <w:tcW w:type="dxa" w:w="4675"/>
            <w:tcMar>
              <w:top w:type="dxa" w:w="100"/>
              <w:left w:type="dxa" w:w="120"/>
              <w:bottom w:type="dxa" w:w="100"/>
              <w:right w:type="dxa" w:w="120"/>
            </w:tcMar>
            <w:vAlign w:val="top"/>
          </w:tcPr>
          <w:p>
            <w:r>
              <w:rPr>
                <w:b w:val="false"/>
                <w:bCs w:val="false"/>
              </w:rPr>
              <w:t xml:space="preserve">The goal of each rule is to maximize the resulting portfolio's return, understood as the weighted sum of the price increases of the selected components, within the diversification and rebalancing rules in force.</w:t>
            </w:r>
          </w:p>
        </w:tc>
      </w:tr>
      <w:tr>
        <w:tc>
          <w:tcPr>
            <w:tcW w:type="dxa" w:w="4675"/>
            <w:tcMar>
              <w:top w:type="dxa" w:w="100"/>
              <w:left w:type="dxa" w:w="120"/>
              <w:bottom w:type="dxa" w:w="100"/>
              <w:right w:type="dxa" w:w="120"/>
            </w:tcMar>
            <w:vAlign w:val="top"/>
          </w:tcPr>
          <w:p>
            <w:r>
              <w:rPr>
                <w:b w:val="false"/>
                <w:bCs w:val="false"/>
              </w:rPr>
              <w:t xml:space="preserve">Importante: el método de selección por defecto — y el más desarrollado, el que da nombre al proyecto — se basa exclusivamente en la cotización y el volumen de negociación de los valores, análisis técnico. La aplicación incluye también, como variantes claramente diferenciadas, una selección por datos fundamentales, otra por consenso de analistas, y un modelo multifactor que combina ambas familias de datos con el análisis técnico (ver sección 19). En ningún caso se trata de una recomendación de inversión fundamentada: son modelos simplificados para estudiar cómo se comporta cada forma de selección mantenida en el tiempo.</w:t>
            </w:r>
          </w:p>
        </w:tc>
        <w:tc>
          <w:tcPr>
            <w:tcW w:type="dxa" w:w="4675"/>
            <w:tcMar>
              <w:top w:type="dxa" w:w="100"/>
              <w:left w:type="dxa" w:w="120"/>
              <w:bottom w:type="dxa" w:w="100"/>
              <w:right w:type="dxa" w:w="120"/>
            </w:tcMar>
            <w:vAlign w:val="top"/>
          </w:tcPr>
          <w:p>
            <w:r>
              <w:rPr>
                <w:b w:val="false"/>
                <w:bCs w:val="false"/>
              </w:rPr>
              <w:t xml:space="preserve">Important: the default selection method — the most developed one, and the one the project is named after — is based exclusively on the price and trading volume of the stocks, technical analysis. The application also includes, as clearly separate variants, a selection by fundamental data, one by analyst consensus, and a multi-factor model that combines both data families with technical analysis (see section 19). None of these is a fundamentally grounded investment recommendation: they are simplified models for studying how each selection approach behaves over time.</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 Tecnología y arquitectura</w:t>
            </w:r>
          </w:p>
        </w:tc>
        <w:tc>
          <w:tcPr>
            <w:tcW w:type="dxa" w:w="4675"/>
            <w:shd w:fill="D9E2F3" w:val="clear"/>
            <w:tcMar>
              <w:top w:type="dxa" w:w="100"/>
              <w:left w:type="dxa" w:w="120"/>
              <w:bottom w:type="dxa" w:w="100"/>
              <w:right w:type="dxa" w:w="120"/>
            </w:tcMar>
            <w:vAlign w:val="top"/>
          </w:tcPr>
          <w:p>
            <w:r>
              <w:rPr>
                <w:b/>
                <w:bCs/>
                <w:color w:val="1F3864"/>
                <w:sz w:val="26"/>
                <w:szCs w:val="26"/>
              </w:rPr>
              <w:t xml:space="preserve">2. Technology and architecture</w:t>
            </w:r>
          </w:p>
        </w:tc>
      </w:tr>
      <w:tr>
        <w:tc>
          <w:tcPr>
            <w:tcW w:type="dxa" w:w="4675"/>
            <w:tcMar>
              <w:top w:type="dxa" w:w="100"/>
              <w:left w:type="dxa" w:w="120"/>
              <w:bottom w:type="dxa" w:w="100"/>
              <w:right w:type="dxa" w:w="120"/>
            </w:tcMar>
            <w:vAlign w:val="top"/>
          </w:tcPr>
          <w:p>
            <w:r>
              <w:rPr>
                <w:b w:val="false"/>
                <w:bCs w:val="false"/>
              </w:rPr>
              <w:t xml:space="preserve">• Lenguaje: JavaScript (Node.js), sobre un proyecto Next.js.</w:t>
            </w:r>
          </w:p>
        </w:tc>
        <w:tc>
          <w:tcPr>
            <w:tcW w:type="dxa" w:w="4675"/>
            <w:tcMar>
              <w:top w:type="dxa" w:w="100"/>
              <w:left w:type="dxa" w:w="120"/>
              <w:bottom w:type="dxa" w:w="100"/>
              <w:right w:type="dxa" w:w="120"/>
            </w:tcMar>
            <w:vAlign w:val="top"/>
          </w:tcPr>
          <w:p>
            <w:r>
              <w:rPr>
                <w:b w:val="false"/>
                <w:bCs w:val="false"/>
              </w:rPr>
              <w:t xml:space="preserve">• Language: JavaScript (Node.js), on a Next.js project.</w:t>
            </w:r>
          </w:p>
        </w:tc>
      </w:tr>
      <w:tr>
        <w:tc>
          <w:tcPr>
            <w:tcW w:type="dxa" w:w="4675"/>
            <w:tcMar>
              <w:top w:type="dxa" w:w="100"/>
              <w:left w:type="dxa" w:w="120"/>
              <w:bottom w:type="dxa" w:w="100"/>
              <w:right w:type="dxa" w:w="120"/>
            </w:tcMar>
            <w:vAlign w:val="top"/>
          </w:tcPr>
          <w:p>
            <w:r>
              <w:rPr>
                <w:b w:val="false"/>
                <w:bCs w:val="false"/>
              </w:rPr>
              <w:t xml:space="preserve">• Librería de datos de mercado: yahoo-finance2 — cotización, volumen, datos fundamentales y consenso de analistas —, envuelta en lib/motor.js con tolerancia a errores de validación de esquema y a caídas temporales de los servidores de Yahoo Finance.</w:t>
            </w:r>
          </w:p>
        </w:tc>
        <w:tc>
          <w:tcPr>
            <w:tcW w:type="dxa" w:w="4675"/>
            <w:tcMar>
              <w:top w:type="dxa" w:w="100"/>
              <w:left w:type="dxa" w:w="120"/>
              <w:bottom w:type="dxa" w:w="100"/>
              <w:right w:type="dxa" w:w="120"/>
            </w:tcMar>
            <w:vAlign w:val="top"/>
          </w:tcPr>
          <w:p>
            <w:r>
              <w:rPr>
                <w:b w:val="false"/>
                <w:bCs w:val="false"/>
              </w:rPr>
              <w:t xml:space="preserve">• Market-data library: yahoo-finance2 — price, volume, fundamental data and analyst consensus —, wrapped in lib/motor.js with tolerance for schema-validation errors and for temporary outages of Yahoo Finance's servers.</w:t>
            </w:r>
          </w:p>
        </w:tc>
      </w:tr>
      <w:tr>
        <w:tc>
          <w:tcPr>
            <w:tcW w:type="dxa" w:w="4675"/>
            <w:tcMar>
              <w:top w:type="dxa" w:w="100"/>
              <w:left w:type="dxa" w:w="120"/>
              <w:bottom w:type="dxa" w:w="100"/>
              <w:right w:type="dxa" w:w="120"/>
            </w:tcMar>
            <w:vAlign w:val="top"/>
          </w:tcPr>
          <w:p>
            <w:r>
              <w:rPr>
                <w:b w:val="false"/>
                <w:bCs w:val="false"/>
              </w:rPr>
              <w:t xml:space="preserve">• Despliegue: el código se sube al repositorio de GitHub y se conecta a Vercel, que publica automáticamente una aplicación web pública. La consulta a Yahoo Finance se ejecuta en funciones de servidor, las API routes de Next.js, alojadas en Vercel; la página web las llama y muestra los resultados.</w:t>
            </w:r>
          </w:p>
        </w:tc>
        <w:tc>
          <w:tcPr>
            <w:tcW w:type="dxa" w:w="4675"/>
            <w:tcMar>
              <w:top w:type="dxa" w:w="100"/>
              <w:left w:type="dxa" w:w="120"/>
              <w:bottom w:type="dxa" w:w="100"/>
              <w:right w:type="dxa" w:w="120"/>
            </w:tcMar>
            <w:vAlign w:val="top"/>
          </w:tcPr>
          <w:p>
            <w:r>
              <w:rPr>
                <w:b w:val="false"/>
                <w:bCs w:val="false"/>
              </w:rPr>
              <w:t xml:space="preserve">• Deployment: the code is pushed to the GitHub repository and connected to Vercel, which automatically publishes a public web application. The query to Yahoo Finance runs in server functions, Next.js's API routes, hosted on Vercel; the web page calls them and shows the results.</w:t>
            </w:r>
          </w:p>
        </w:tc>
      </w:tr>
      <w:tr>
        <w:tc>
          <w:tcPr>
            <w:tcW w:type="dxa" w:w="4675"/>
            <w:tcMar>
              <w:top w:type="dxa" w:w="100"/>
              <w:left w:type="dxa" w:w="120"/>
              <w:bottom w:type="dxa" w:w="100"/>
              <w:right w:type="dxa" w:w="120"/>
            </w:tcMar>
            <w:vAlign w:val="top"/>
          </w:tcPr>
          <w:p>
            <w:r>
              <w:rPr>
                <w:b w:val="false"/>
                <w:bCs w:val="false"/>
              </w:rPr>
              <w:t xml:space="preserve">• Arquitectura multi-índice: el catálogo de índices soportados (lib/indices.js) es una lista de datos declarativa — tickers, nombres, símbolo del índice, ETFs de referencia... —; añadir un índice nuevo consiste en añadir una entrada al catálogo, sin tocar el resto de la aplicación (ver sección 4).</w:t>
            </w:r>
          </w:p>
        </w:tc>
        <w:tc>
          <w:tcPr>
            <w:tcW w:type="dxa" w:w="4675"/>
            <w:tcMar>
              <w:top w:type="dxa" w:w="100"/>
              <w:left w:type="dxa" w:w="120"/>
              <w:bottom w:type="dxa" w:w="100"/>
              <w:right w:type="dxa" w:w="120"/>
            </w:tcMar>
            <w:vAlign w:val="top"/>
          </w:tcPr>
          <w:p>
            <w:r>
              <w:rPr>
                <w:b w:val="false"/>
                <w:bCs w:val="false"/>
              </w:rPr>
              <w:t xml:space="preserve">• Multi-index architecture: the catalog of supported indices (lib/indices.js) is a declarative data list — tickers, names, index symbol, reference ETFs... —; adding a new index means adding one entry to the catalog, without touching the rest of the application (see section 4).</w:t>
            </w:r>
          </w:p>
        </w:tc>
      </w:tr>
      <w:tr>
        <w:tc>
          <w:tcPr>
            <w:tcW w:type="dxa" w:w="4675"/>
            <w:tcMar>
              <w:top w:type="dxa" w:w="100"/>
              <w:left w:type="dxa" w:w="120"/>
              <w:bottom w:type="dxa" w:w="100"/>
              <w:right w:type="dxa" w:w="120"/>
            </w:tcMar>
            <w:vAlign w:val="top"/>
          </w:tcPr>
          <w:p>
            <w:r>
              <w:rPr>
                <w:b w:val="false"/>
                <w:bCs w:val="false"/>
              </w:rPr>
              <w:t xml:space="preserve">• Interfaz: un marco exterior persistente, visible en cualquier pantalla, con el selector de índice, el de sesiones promediadas para la puntuación y el de idioma; un menú de hamburguesa con las cinco páginas de trabajo — Comprobaciones, Parámetros técnicos, Selección técnica, Selección alternativa, Análisis —; y un panel de información (icono "i") con las especificaciones, este documento, la historia y las observaciones del proyecto, cada una convertida de .docx a HTML al vuelo (librería mammoth) y mostrada sin salir de la aplicación.</w:t>
            </w:r>
          </w:p>
        </w:tc>
        <w:tc>
          <w:tcPr>
            <w:tcW w:type="dxa" w:w="4675"/>
            <w:tcMar>
              <w:top w:type="dxa" w:w="100"/>
              <w:left w:type="dxa" w:w="120"/>
              <w:bottom w:type="dxa" w:w="100"/>
              <w:right w:type="dxa" w:w="120"/>
            </w:tcMar>
            <w:vAlign w:val="top"/>
          </w:tcPr>
          <w:p>
            <w:r>
              <w:rPr>
                <w:b w:val="false"/>
                <w:bCs w:val="false"/>
              </w:rPr>
              <w:t xml:space="preserve">• Interface: a persistent outer frame, visible on any screen, with the index selector, the sessions-averaged selector for scoring, and the language selector; a hamburger menu with the five working pages — Checks, Technical parameters, Technical selection, Alternative selection, Analysis —; and an information panel ("i" icon) with the specifications, this document, the project history and its notes, each converted from .docx to HTML on the fly (mammoth library) and shown without leaving the application.</w:t>
            </w:r>
          </w:p>
        </w:tc>
      </w:tr>
      <w:tr>
        <w:tc>
          <w:tcPr>
            <w:tcW w:type="dxa" w:w="4675"/>
            <w:tcMar>
              <w:top w:type="dxa" w:w="100"/>
              <w:left w:type="dxa" w:w="120"/>
              <w:bottom w:type="dxa" w:w="100"/>
              <w:right w:type="dxa" w:w="120"/>
            </w:tcMar>
            <w:vAlign w:val="top"/>
          </w:tcPr>
          <w:p>
            <w:r>
              <w:rPr>
                <w:b w:val="false"/>
                <w:bCs w:val="false"/>
              </w:rPr>
              <w:t xml:space="preserve">• Exportación de resultados: cualquier tabla de resultados de la aplicación se puede descargar como PDF o compartir directamente desde el dispositivo (ver sección 24).</w:t>
            </w:r>
          </w:p>
        </w:tc>
        <w:tc>
          <w:tcPr>
            <w:tcW w:type="dxa" w:w="4675"/>
            <w:tcMar>
              <w:top w:type="dxa" w:w="100"/>
              <w:left w:type="dxa" w:w="120"/>
              <w:bottom w:type="dxa" w:w="100"/>
              <w:right w:type="dxa" w:w="120"/>
            </w:tcMar>
            <w:vAlign w:val="top"/>
          </w:tcPr>
          <w:p>
            <w:r>
              <w:rPr>
                <w:b w:val="false"/>
                <w:bCs w:val="false"/>
              </w:rPr>
              <w:t xml:space="preserve">• Exporting results: any results table in the application can be downloaded as a PDF or shared directly from the device (see section 24).</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3. Alcance y principios metodológicos</w:t>
            </w:r>
          </w:p>
        </w:tc>
        <w:tc>
          <w:tcPr>
            <w:tcW w:type="dxa" w:w="4675"/>
            <w:shd w:fill="D9E2F3" w:val="clear"/>
            <w:tcMar>
              <w:top w:type="dxa" w:w="100"/>
              <w:left w:type="dxa" w:w="120"/>
              <w:bottom w:type="dxa" w:w="100"/>
              <w:right w:type="dxa" w:w="120"/>
            </w:tcMar>
            <w:vAlign w:val="top"/>
          </w:tcPr>
          <w:p>
            <w:r>
              <w:rPr>
                <w:b/>
                <w:bCs/>
                <w:color w:val="1F3864"/>
                <w:sz w:val="26"/>
                <w:szCs w:val="26"/>
              </w:rPr>
              <w:t xml:space="preserve">3. Scope and methodological principles</w:t>
            </w:r>
          </w:p>
        </w:tc>
      </w:tr>
      <w:tr>
        <w:tc>
          <w:tcPr>
            <w:tcW w:type="dxa" w:w="4675"/>
            <w:tcMar>
              <w:top w:type="dxa" w:w="100"/>
              <w:left w:type="dxa" w:w="120"/>
              <w:bottom w:type="dxa" w:w="100"/>
              <w:right w:type="dxa" w:w="120"/>
            </w:tcMar>
            <w:vAlign w:val="top"/>
          </w:tcPr>
          <w:p>
            <w:r>
              <w:rPr>
                <w:b w:val="false"/>
                <w:bCs w:val="false"/>
              </w:rPr>
              <w:t xml:space="preserve">• El método de selección técnica — el más desarrollado, y el que da nombre al proyecto — se basa exclusivamente en cotización y volumen de negociación de cada componente: análisis técnico, sin datos fundamentales de las empresas.</w:t>
            </w:r>
          </w:p>
        </w:tc>
        <w:tc>
          <w:tcPr>
            <w:tcW w:type="dxa" w:w="4675"/>
            <w:tcMar>
              <w:top w:type="dxa" w:w="100"/>
              <w:left w:type="dxa" w:w="120"/>
              <w:bottom w:type="dxa" w:w="100"/>
              <w:right w:type="dxa" w:w="120"/>
            </w:tcMar>
            <w:vAlign w:val="top"/>
          </w:tcPr>
          <w:p>
            <w:r>
              <w:rPr>
                <w:b w:val="false"/>
                <w:bCs w:val="false"/>
              </w:rPr>
              <w:t xml:space="preserve">• The technical selection method — the most developed one, and the one the project is named after — is based exclusively on the price and trading volume of each component: technical analysis, no company fundamentals.</w:t>
            </w:r>
          </w:p>
        </w:tc>
      </w:tr>
      <w:tr>
        <w:tc>
          <w:tcPr>
            <w:tcW w:type="dxa" w:w="4675"/>
            <w:tcMar>
              <w:top w:type="dxa" w:w="100"/>
              <w:left w:type="dxa" w:w="120"/>
              <w:bottom w:type="dxa" w:w="100"/>
              <w:right w:type="dxa" w:w="120"/>
            </w:tcMar>
            <w:vAlign w:val="top"/>
          </w:tcPr>
          <w:p>
            <w:r>
              <w:rPr>
                <w:b w:val="false"/>
                <w:bCs w:val="false"/>
              </w:rPr>
              <w:t xml:space="preserve">• Principio seguido en las páginas de backtest día a día (Selección técnica, sección 15-16, y Análisis, sección 20-21): evitar el sesgo de anticipación, look-ahead bias. Cualquier decisión se toma solo con información disponible el día anterior; el indicador de rendimiento real es el "beneficio sin cambio" de la cartera anterior, no el de la recién seleccionada (ver sección 12).</w:t>
            </w:r>
          </w:p>
        </w:tc>
        <w:tc>
          <w:tcPr>
            <w:tcW w:type="dxa" w:w="4675"/>
            <w:tcMar>
              <w:top w:type="dxa" w:w="100"/>
              <w:left w:type="dxa" w:w="120"/>
              <w:bottom w:type="dxa" w:w="100"/>
              <w:right w:type="dxa" w:w="120"/>
            </w:tcMar>
            <w:vAlign w:val="top"/>
          </w:tcPr>
          <w:p>
            <w:r>
              <w:rPr>
                <w:b w:val="false"/>
                <w:bCs w:val="false"/>
              </w:rPr>
              <w:t xml:space="preserve">• Principle followed on the day-by-day backtest pages (Technical selection, sections 15-16, and Analysis, sections 20-21): avoid look-ahead bias. Every decision is made using only information available the day before; the real performance indicator is the previous portfolio's "return with no change", not that of the just-selected one (see section 12).</w:t>
            </w:r>
          </w:p>
        </w:tc>
      </w:tr>
      <w:tr>
        <w:tc>
          <w:tcPr>
            <w:tcW w:type="dxa" w:w="4675"/>
            <w:tcMar>
              <w:top w:type="dxa" w:w="100"/>
              <w:left w:type="dxa" w:w="120"/>
              <w:bottom w:type="dxa" w:w="100"/>
              <w:right w:type="dxa" w:w="120"/>
            </w:tcMar>
            <w:vAlign w:val="top"/>
          </w:tcPr>
          <w:p>
            <w:r>
              <w:rPr>
                <w:b w:val="false"/>
                <w:bCs w:val="false"/>
              </w:rPr>
              <w:t xml:space="preserve">• Excepciones deliberadas, explícitamente señaladas donde aparecen: la selección por fundamental y por analistas, y el modelo multifactor (sección 19) usan el dato de HOY aplicado a todo el periodo de backtest, porque Yahoo Finance no ofrece histórico diario de esos datos; el modo "cartera real" de la selección por "veces seleccionado" (sección 18) acepta el sesgo de anticipación a propósito, porque su objetivo es componer la cartera de hoy, no medir una estrategia contra el pasado.</w:t>
            </w:r>
          </w:p>
        </w:tc>
        <w:tc>
          <w:tcPr>
            <w:tcW w:type="dxa" w:w="4675"/>
            <w:tcMar>
              <w:top w:type="dxa" w:w="100"/>
              <w:left w:type="dxa" w:w="120"/>
              <w:bottom w:type="dxa" w:w="100"/>
              <w:right w:type="dxa" w:w="120"/>
            </w:tcMar>
            <w:vAlign w:val="top"/>
          </w:tcPr>
          <w:p>
            <w:r>
              <w:rPr>
                <w:b w:val="false"/>
                <w:bCs w:val="false"/>
              </w:rPr>
              <w:t xml:space="preserve">• Deliberate exceptions, explicitly flagged where they appear: fundamental selection, analyst selection, and the multi-factor model (section 19) use TODAY's data applied across the whole backtest period, since Yahoo Finance provides no daily history for that data; the "real portfolio" mode of the "times selected" selection (section 18) knowingly accepts look-ahead bias, since its goal is to put together today's portfolio, not to measure a strategy against the past.</w:t>
            </w:r>
          </w:p>
        </w:tc>
      </w:tr>
      <w:tr>
        <w:tc>
          <w:tcPr>
            <w:tcW w:type="dxa" w:w="4675"/>
            <w:tcMar>
              <w:top w:type="dxa" w:w="100"/>
              <w:left w:type="dxa" w:w="120"/>
              <w:bottom w:type="dxa" w:w="100"/>
              <w:right w:type="dxa" w:w="120"/>
            </w:tcMar>
            <w:vAlign w:val="top"/>
          </w:tcPr>
          <w:p>
            <w:r>
              <w:rPr>
                <w:b w:val="false"/>
                <w:bCs w:val="false"/>
              </w:rPr>
              <w:t xml:space="preserve">• El modelo técnico es deliberadamente auditable: cada regla es explícita y trazable. Se ha descartado a propósito construir un modelo de selección propio tipo red neuronal o perceptrón (ver sección 30). El modelo multifactor (sección 19) sí incorpora una regresión ridge — una técnica estadística lineal, simple y transparente, con pesos ajustados que se pueden leer e interpretar directamente —, muy distinta en opacidad y en riesgo de sobreajuste de una red neuronal: no contradice el principio de auditabilidad, lo amplía con un método intermedio.</w:t>
            </w:r>
          </w:p>
        </w:tc>
        <w:tc>
          <w:tcPr>
            <w:tcW w:type="dxa" w:w="4675"/>
            <w:tcMar>
              <w:top w:type="dxa" w:w="100"/>
              <w:left w:type="dxa" w:w="120"/>
              <w:bottom w:type="dxa" w:w="100"/>
              <w:right w:type="dxa" w:w="120"/>
            </w:tcMar>
            <w:vAlign w:val="top"/>
          </w:tcPr>
          <w:p>
            <w:r>
              <w:rPr>
                <w:b w:val="false"/>
                <w:bCs w:val="false"/>
              </w:rPr>
              <w:t xml:space="preserve">• The technical model is deliberately auditable: every rule is explicit and traceable. Building a custom neural-net or perceptron-style selection model was deliberately ruled out (see section 30). The multi-factor model (section 19) does incorporate a ridge regression — a simple, transparent linear statistical technique, with fitted weights that can be read and interpreted directly —, very different in opacity and overfitting risk from a neural net: it doesn't contradict the auditability principle, it extends it with a middle-ground method.</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4. Universo de inversión: catálogo de índices</w:t>
            </w:r>
          </w:p>
        </w:tc>
        <w:tc>
          <w:tcPr>
            <w:tcW w:type="dxa" w:w="4675"/>
            <w:shd w:fill="D9E2F3" w:val="clear"/>
            <w:tcMar>
              <w:top w:type="dxa" w:w="100"/>
              <w:left w:type="dxa" w:w="120"/>
              <w:bottom w:type="dxa" w:w="100"/>
              <w:right w:type="dxa" w:w="120"/>
            </w:tcMar>
            <w:vAlign w:val="top"/>
          </w:tcPr>
          <w:p>
            <w:r>
              <w:rPr>
                <w:b/>
                <w:bCs/>
                <w:color w:val="1F3864"/>
                <w:sz w:val="26"/>
                <w:szCs w:val="26"/>
              </w:rPr>
              <w:t xml:space="preserve">4. Investment universe: index catalog</w:t>
            </w:r>
          </w:p>
        </w:tc>
      </w:tr>
      <w:tr>
        <w:tc>
          <w:tcPr>
            <w:tcW w:type="dxa" w:w="4675"/>
            <w:tcMar>
              <w:top w:type="dxa" w:w="100"/>
              <w:left w:type="dxa" w:w="120"/>
              <w:bottom w:type="dxa" w:w="100"/>
              <w:right w:type="dxa" w:w="120"/>
            </w:tcMar>
            <w:vAlign w:val="top"/>
          </w:tcPr>
          <w:p>
            <w:r>
              <w:rPr>
                <w:b w:val="false"/>
                <w:bCs w:val="false"/>
              </w:rPr>
              <w:t xml:space="preserve">• La aplicación no está limitada a un único índice: el selector de índice, visible en el marco exterior de cualquier pantalla, permite elegir entre 16 índices o catálogos de valores definidos en lib/indices.js; el resto de la aplicación (backend y frontend) es genérico para cualquiera de ellos.</w:t>
            </w:r>
          </w:p>
        </w:tc>
        <w:tc>
          <w:tcPr>
            <w:tcW w:type="dxa" w:w="4675"/>
            <w:tcMar>
              <w:top w:type="dxa" w:w="100"/>
              <w:left w:type="dxa" w:w="120"/>
              <w:bottom w:type="dxa" w:w="100"/>
              <w:right w:type="dxa" w:w="120"/>
            </w:tcMar>
            <w:vAlign w:val="top"/>
          </w:tcPr>
          <w:p>
            <w:r>
              <w:rPr>
                <w:b w:val="false"/>
                <w:bCs w:val="false"/>
              </w:rPr>
              <w:t xml:space="preserve">• The application isn't limited to a single index: the index selector, visible in the outer frame on any screen, lets you choose among 16 indices or stock catalogs defined in lib/indices.js; the rest of the application (backend and frontend) is generic for any of them.</w:t>
            </w:r>
          </w:p>
        </w:tc>
      </w:tr>
      <w:tr>
        <w:tc>
          <w:tcPr>
            <w:tcW w:type="dxa" w:w="4675"/>
            <w:tcMar>
              <w:top w:type="dxa" w:w="100"/>
              <w:left w:type="dxa" w:w="120"/>
              <w:bottom w:type="dxa" w:w="100"/>
              <w:right w:type="dxa" w:w="120"/>
            </w:tcMar>
            <w:vAlign w:val="top"/>
          </w:tcPr>
          <w:p>
            <w:r>
              <w:rPr>
                <w:b w:val="false"/>
                <w:bCs w:val="false"/>
              </w:rPr>
              <w:t xml:space="preserve">• América: Dow Jones Industrial Average (EE. UU., 30 valores) y Nasdaq 100 (EE. UU., cerca de 100 valores).</w:t>
            </w:r>
          </w:p>
        </w:tc>
        <w:tc>
          <w:tcPr>
            <w:tcW w:type="dxa" w:w="4675"/>
            <w:tcMar>
              <w:top w:type="dxa" w:w="100"/>
              <w:left w:type="dxa" w:w="120"/>
              <w:bottom w:type="dxa" w:w="100"/>
              <w:right w:type="dxa" w:w="120"/>
            </w:tcMar>
            <w:vAlign w:val="top"/>
          </w:tcPr>
          <w:p>
            <w:r>
              <w:rPr>
                <w:b w:val="false"/>
                <w:bCs w:val="false"/>
              </w:rPr>
              <w:t xml:space="preserve">• Americas: Dow Jones Industrial Average (US, 30 stocks) and Nasdaq 100 (US, close to 100 stocks).</w:t>
            </w:r>
          </w:p>
        </w:tc>
      </w:tr>
      <w:tr>
        <w:tc>
          <w:tcPr>
            <w:tcW w:type="dxa" w:w="4675"/>
            <w:tcMar>
              <w:top w:type="dxa" w:w="100"/>
              <w:left w:type="dxa" w:w="120"/>
              <w:bottom w:type="dxa" w:w="100"/>
              <w:right w:type="dxa" w:w="120"/>
            </w:tcMar>
            <w:vAlign w:val="top"/>
          </w:tcPr>
          <w:p>
            <w:r>
              <w:rPr>
                <w:b w:val="false"/>
                <w:bCs w:val="false"/>
              </w:rPr>
              <w:t xml:space="preserve">• Europa: IBEX 35 (España), CAC 40 (Francia), PSI 20 (Portugal), DAX (Alemania), AEX (Países Bajos), FTSE MIB (Italia) y Grecia ADR.</w:t>
            </w:r>
          </w:p>
        </w:tc>
        <w:tc>
          <w:tcPr>
            <w:tcW w:type="dxa" w:w="4675"/>
            <w:tcMar>
              <w:top w:type="dxa" w:w="100"/>
              <w:left w:type="dxa" w:w="120"/>
              <w:bottom w:type="dxa" w:w="100"/>
              <w:right w:type="dxa" w:w="120"/>
            </w:tcMar>
            <w:vAlign w:val="top"/>
          </w:tcPr>
          <w:p>
            <w:r>
              <w:rPr>
                <w:b w:val="false"/>
                <w:bCs w:val="false"/>
              </w:rPr>
              <w:t xml:space="preserve">• Europe: IBEX 35 (Spain), CAC 40 (France), PSI 20 (Portugal), DAX (Germany), AEX (Netherlands), FTSE MIB (Italy) and Greece ADR.</w:t>
            </w:r>
          </w:p>
        </w:tc>
      </w:tr>
      <w:tr>
        <w:tc>
          <w:tcPr>
            <w:tcW w:type="dxa" w:w="4675"/>
            <w:tcMar>
              <w:top w:type="dxa" w:w="100"/>
              <w:left w:type="dxa" w:w="120"/>
              <w:bottom w:type="dxa" w:w="100"/>
              <w:right w:type="dxa" w:w="120"/>
            </w:tcMar>
            <w:vAlign w:val="top"/>
          </w:tcPr>
          <w:p>
            <w:r>
              <w:rPr>
                <w:b w:val="false"/>
                <w:bCs w:val="false"/>
              </w:rPr>
              <w:t xml:space="preserve">• Latinoamérica y resto de América fuera de EE. UU.: S&amp;P Argentina ADR, S&amp;P Brasil ADR, S&amp;P México ADR y S&amp;P Latinoamérica ADR — agrupa Chile, Colombia y Perú, que no tienen índice de ADR propio.</w:t>
            </w:r>
          </w:p>
        </w:tc>
        <w:tc>
          <w:tcPr>
            <w:tcW w:type="dxa" w:w="4675"/>
            <w:tcMar>
              <w:top w:type="dxa" w:w="100"/>
              <w:left w:type="dxa" w:w="120"/>
              <w:bottom w:type="dxa" w:w="100"/>
              <w:right w:type="dxa" w:w="120"/>
            </w:tcMar>
            <w:vAlign w:val="top"/>
          </w:tcPr>
          <w:p>
            <w:r>
              <w:rPr>
                <w:b w:val="false"/>
                <w:bCs w:val="false"/>
              </w:rPr>
              <w:t xml:space="preserve">• Latin America and the rest of the Americas outside the US: S&amp;P Argentina ADR, S&amp;P Brazil ADR, S&amp;P Mexico ADR and S&amp;P Latin America ADR — groups Chile, Colombia and Peru, which have no ADR index of their own.</w:t>
            </w:r>
          </w:p>
        </w:tc>
      </w:tr>
      <w:tr>
        <w:tc>
          <w:tcPr>
            <w:tcW w:type="dxa" w:w="4675"/>
            <w:tcMar>
              <w:top w:type="dxa" w:w="100"/>
              <w:left w:type="dxa" w:w="120"/>
              <w:bottom w:type="dxa" w:w="100"/>
              <w:right w:type="dxa" w:w="120"/>
            </w:tcMar>
            <w:vAlign w:val="top"/>
          </w:tcPr>
          <w:p>
            <w:r>
              <w:rPr>
                <w:b w:val="false"/>
                <w:bCs w:val="false"/>
              </w:rPr>
              <w:t xml:space="preserve">• Asia y Oceanía: S&amp;P India ADR, S&amp;P Asia ADR — por ahora, solo componentes taiwaneses —, S&amp;P China ADR, S&amp;P Corea ADR y S&amp;P Australia ADR.</w:t>
            </w:r>
          </w:p>
        </w:tc>
        <w:tc>
          <w:tcPr>
            <w:tcW w:type="dxa" w:w="4675"/>
            <w:tcMar>
              <w:top w:type="dxa" w:w="100"/>
              <w:left w:type="dxa" w:w="120"/>
              <w:bottom w:type="dxa" w:w="100"/>
              <w:right w:type="dxa" w:w="120"/>
            </w:tcMar>
            <w:vAlign w:val="top"/>
          </w:tcPr>
          <w:p>
            <w:r>
              <w:rPr>
                <w:b w:val="false"/>
                <w:bCs w:val="false"/>
              </w:rPr>
              <w:t xml:space="preserve">• Asia and Oceania: S&amp;P India ADR, S&amp;P Asia ADR — currently only Taiwanese components —, S&amp;P China ADR, S&amp;P Korea ADR and S&amp;P Australia ADR.</w:t>
            </w:r>
          </w:p>
        </w:tc>
      </w:tr>
      <w:tr>
        <w:tc>
          <w:tcPr>
            <w:tcW w:type="dxa" w:w="4675"/>
            <w:tcMar>
              <w:top w:type="dxa" w:w="100"/>
              <w:left w:type="dxa" w:w="120"/>
              <w:bottom w:type="dxa" w:w="100"/>
              <w:right w:type="dxa" w:w="120"/>
            </w:tcMar>
            <w:vAlign w:val="top"/>
          </w:tcPr>
          <w:p>
            <w:r>
              <w:rPr>
                <w:b w:val="false"/>
                <w:bCs w:val="false"/>
              </w:rPr>
              <w:t xml:space="preserve">• Los índices "ADR" son deliberadamente parciales: solo siguen los valores de ese país accesibles a un inversor de EE. UU./Europa vía ADR, sigla de American Depositary Receipt, cotizado en dólares en NYSE o Nasdaq, no el índice bursátil local completo, que cotiza en su propia moneda y tiene muchos más componentes. Mientras alguno de estos índices está seleccionado, la aplicación muestra un aviso explícito en el marco exterior.</w:t>
            </w:r>
          </w:p>
        </w:tc>
        <w:tc>
          <w:tcPr>
            <w:tcW w:type="dxa" w:w="4675"/>
            <w:tcMar>
              <w:top w:type="dxa" w:w="100"/>
              <w:left w:type="dxa" w:w="120"/>
              <w:bottom w:type="dxa" w:w="100"/>
              <w:right w:type="dxa" w:w="120"/>
            </w:tcMar>
            <w:vAlign w:val="top"/>
          </w:tcPr>
          <w:p>
            <w:r>
              <w:rPr>
                <w:b w:val="false"/>
                <w:bCs w:val="false"/>
              </w:rPr>
              <w:t xml:space="preserve">• The "ADR" indices are deliberately partial: they only track the stocks from that country accessible to a US/European investor via an ADR, short for American Depositary Receipt, traded in US dollars on NYSE or Nasdaq, not the full local stock index, which trades in its own currency and has far more components. While one of these indices is selected, the application shows an explicit warning in the outer frame.</w:t>
            </w:r>
          </w:p>
        </w:tc>
      </w:tr>
      <w:tr>
        <w:tc>
          <w:tcPr>
            <w:tcW w:type="dxa" w:w="4675"/>
            <w:tcMar>
              <w:top w:type="dxa" w:w="100"/>
              <w:left w:type="dxa" w:w="120"/>
              <w:bottom w:type="dxa" w:w="100"/>
              <w:right w:type="dxa" w:w="120"/>
            </w:tcMar>
            <w:vAlign w:val="top"/>
          </w:tcPr>
          <w:p>
            <w:r>
              <w:rPr>
                <w:b w:val="false"/>
                <w:bCs w:val="false"/>
              </w:rPr>
              <w:t xml:space="preserve">• Caso especial, el DAX: a diferencia del resto, índices "de precio", el DAX se calcula oficialmente como índice de rentabilidad total: los dividendos de sus componentes se reinvierten dentro del propio cálculo del índice. Por eso "Rentabilidad de los ETFs" (sección 22) usa para el DAX un ETF de acumulación como referencia, en vez de uno de distribución como para todos los demás índices del catálogo.</w:t>
            </w:r>
          </w:p>
        </w:tc>
        <w:tc>
          <w:tcPr>
            <w:tcW w:type="dxa" w:w="4675"/>
            <w:tcMar>
              <w:top w:type="dxa" w:w="100"/>
              <w:left w:type="dxa" w:w="120"/>
              <w:bottom w:type="dxa" w:w="100"/>
              <w:right w:type="dxa" w:w="120"/>
            </w:tcMar>
            <w:vAlign w:val="top"/>
          </w:tcPr>
          <w:p>
            <w:r>
              <w:rPr>
                <w:b w:val="false"/>
                <w:bCs w:val="false"/>
              </w:rPr>
              <w:t xml:space="preserve">• Special case, the DAX: unlike the rest, "price" indices, the DAX is officially computed as a total-return index: its components' dividends are reinvested within the index calculation itself. That's why "ETF returns" (section 22) uses an accumulating ETF as the DAX's benchmark, instead of a distributing one as for every other index in the catalog.</w:t>
            </w:r>
          </w:p>
        </w:tc>
      </w:tr>
      <w:tr>
        <w:tc>
          <w:tcPr>
            <w:tcW w:type="dxa" w:w="4675"/>
            <w:tcMar>
              <w:top w:type="dxa" w:w="100"/>
              <w:left w:type="dxa" w:w="120"/>
              <w:bottom w:type="dxa" w:w="100"/>
              <w:right w:type="dxa" w:w="120"/>
            </w:tcMar>
            <w:vAlign w:val="top"/>
          </w:tcPr>
          <w:p>
            <w:r>
              <w:rPr>
                <w:b w:val="false"/>
                <w:bCs w:val="false"/>
              </w:rPr>
              <w:t xml:space="preserve">• Cada índice define también, cuando existe, un ETF UCITS de referencia (para "Comprobación de componentes vía ETF", sección 23) y uno o varios ETFs UCITS "de rentabilidad" y "opuestos" (sección 22); los índices ADR parciales no tienen ETF de referencia por no existir, hoy, ningún producto comparable.</w:t>
            </w:r>
          </w:p>
        </w:tc>
        <w:tc>
          <w:tcPr>
            <w:tcW w:type="dxa" w:w="4675"/>
            <w:tcMar>
              <w:top w:type="dxa" w:w="100"/>
              <w:left w:type="dxa" w:w="120"/>
              <w:bottom w:type="dxa" w:w="100"/>
              <w:right w:type="dxa" w:w="120"/>
            </w:tcMar>
            <w:vAlign w:val="top"/>
          </w:tcPr>
          <w:p>
            <w:r>
              <w:rPr>
                <w:b w:val="false"/>
                <w:bCs w:val="false"/>
              </w:rPr>
              <w:t xml:space="preserve">• Each index also defines, when one exists, a reference UCITS ETF (for "Component check via ETF", section 23) and one or more "return" and "opposite" UCITS ETFs (section 22); the partial ADR indices have no reference ETF since no comparable product currently exists.</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5. Criterio de puntuación técnico y sus antítesis</w:t>
            </w:r>
          </w:p>
        </w:tc>
        <w:tc>
          <w:tcPr>
            <w:tcW w:type="dxa" w:w="4675"/>
            <w:shd w:fill="D9E2F3" w:val="clear"/>
            <w:tcMar>
              <w:top w:type="dxa" w:w="100"/>
              <w:left w:type="dxa" w:w="120"/>
              <w:bottom w:type="dxa" w:w="100"/>
              <w:right w:type="dxa" w:w="120"/>
            </w:tcMar>
            <w:vAlign w:val="top"/>
          </w:tcPr>
          <w:p>
            <w:r>
              <w:rPr>
                <w:b/>
                <w:bCs/>
                <w:color w:val="1F3864"/>
                <w:sz w:val="26"/>
                <w:szCs w:val="26"/>
              </w:rPr>
              <w:t xml:space="preserve">5. Technical scoring criterion and its antitheses</w:t>
            </w:r>
          </w:p>
        </w:tc>
      </w:tr>
      <w:tr>
        <w:tc>
          <w:tcPr>
            <w:tcW w:type="dxa" w:w="4675"/>
            <w:tcMar>
              <w:top w:type="dxa" w:w="100"/>
              <w:left w:type="dxa" w:w="120"/>
              <w:bottom w:type="dxa" w:w="100"/>
              <w:right w:type="dxa" w:w="120"/>
            </w:tcMar>
            <w:vAlign w:val="top"/>
          </w:tcPr>
          <w:p>
            <w:r>
              <w:rPr>
                <w:b w:val="false"/>
                <w:bCs w:val="false"/>
              </w:rPr>
              <w:t xml:space="preserve">• Puntuación de un valor en un día = suma de los incrementos de las últimas N sesiones, sobre el criterio elegido. N, las "sesiones promediadas", es configurable en el marco exterior — 3, 5, 8 o 13 sesiones, 3 por defecto — y afecta por igual a Selección técnica, a "Puntuaciones de una sesión concreta" (Comprobaciones, sección 23) y a Análisis (sección 20).</w:t>
            </w:r>
          </w:p>
        </w:tc>
        <w:tc>
          <w:tcPr>
            <w:tcW w:type="dxa" w:w="4675"/>
            <w:tcMar>
              <w:top w:type="dxa" w:w="100"/>
              <w:left w:type="dxa" w:w="120"/>
              <w:bottom w:type="dxa" w:w="100"/>
              <w:right w:type="dxa" w:w="120"/>
            </w:tcMar>
            <w:vAlign w:val="top"/>
          </w:tcPr>
          <w:p>
            <w:r>
              <w:rPr>
                <w:b w:val="false"/>
                <w:bCs w:val="false"/>
              </w:rPr>
              <w:t xml:space="preserve">• A stock's score on a given day = sum of the changes over the last N sessions, on the chosen criterion. N, the "sessions averaged", is configurable in the outer frame — 3, 5, 8 or 13 sessions, 3 by default — and affects Technical selection, "Scores for a specific session" (Checks, section 23) and Analysis (section 20) alike.</w:t>
            </w:r>
          </w:p>
        </w:tc>
      </w:tr>
      <w:tr>
        <w:tc>
          <w:tcPr>
            <w:tcW w:type="dxa" w:w="4675"/>
            <w:tcMar>
              <w:top w:type="dxa" w:w="100"/>
              <w:left w:type="dxa" w:w="120"/>
              <w:bottom w:type="dxa" w:w="100"/>
              <w:right w:type="dxa" w:w="120"/>
            </w:tcMar>
            <w:vAlign w:val="top"/>
          </w:tcPr>
          <w:p>
            <w:r>
              <w:rPr>
                <w:b w:val="false"/>
                <w:bCs w:val="false"/>
              </w:rPr>
              <w:t xml:space="preserve">• Seis criterios técnicos, todos en la página "Selección técnica" (secciones 15-16): precio, variación de cotización; volumen, variación del volumen negociado; flujo de dinero, variación del producto precio×volumen — pondera el volumen por la dirección del movimiento de precio, a diferencia del volumen puro —; y sus tres antítesis — precio bajo, volumen bajo y flujo de dinero bajo —, que aplican el mismo cálculo de puntuación pero seleccionan los valores con MENOR puntuación en vez de mayor.</w:t>
            </w:r>
          </w:p>
        </w:tc>
        <w:tc>
          <w:tcPr>
            <w:tcW w:type="dxa" w:w="4675"/>
            <w:tcMar>
              <w:top w:type="dxa" w:w="100"/>
              <w:left w:type="dxa" w:w="120"/>
              <w:bottom w:type="dxa" w:w="100"/>
              <w:right w:type="dxa" w:w="120"/>
            </w:tcMar>
            <w:vAlign w:val="top"/>
          </w:tcPr>
          <w:p>
            <w:r>
              <w:rPr>
                <w:b w:val="false"/>
                <w:bCs w:val="false"/>
              </w:rPr>
              <w:t xml:space="preserve">• Six technical criteria, all on the "Technical selection" page (sections 15-16): price, price change; volume, trading-volume change; money flow, change in the price×volume product — weights volume by the direction of the price move, unlike raw volume —; and their three antitheses — low price, low volume and low money flow —, which apply the same scoring calculation but select the stocks with the LOWEST score instead of the highest.</w:t>
            </w:r>
          </w:p>
        </w:tc>
      </w:tr>
      <w:tr>
        <w:tc>
          <w:tcPr>
            <w:tcW w:type="dxa" w:w="4675"/>
            <w:tcMar>
              <w:top w:type="dxa" w:w="100"/>
              <w:left w:type="dxa" w:w="120"/>
              <w:bottom w:type="dxa" w:w="100"/>
              <w:right w:type="dxa" w:w="120"/>
            </w:tcMar>
            <w:vAlign w:val="top"/>
          </w:tcPr>
          <w:p>
            <w:r>
              <w:rPr>
                <w:b w:val="false"/>
                <w:bCs w:val="false"/>
              </w:rPr>
              <w:t xml:space="preserve">• Un séptimo criterio, aleatorio (puntuación pseudoaleatoria determinista con semilla fija), vive en la página "Selección alternativa" (sección 19) junto con fundamental, analistas y multifactor, y sirve de referencia/control frente a todos los criterios anteriores.</w:t>
            </w:r>
          </w:p>
        </w:tc>
        <w:tc>
          <w:tcPr>
            <w:tcW w:type="dxa" w:w="4675"/>
            <w:tcMar>
              <w:top w:type="dxa" w:w="100"/>
              <w:left w:type="dxa" w:w="120"/>
              <w:bottom w:type="dxa" w:w="100"/>
              <w:right w:type="dxa" w:w="120"/>
            </w:tcMar>
            <w:vAlign w:val="top"/>
          </w:tcPr>
          <w:p>
            <w:r>
              <w:rPr>
                <w:b w:val="false"/>
                <w:bCs w:val="false"/>
              </w:rPr>
              <w:t xml:space="preserve">• A seventh criterion, random (deterministic pseudo-random score with a fixed seed), lives on the "Alternative selection" page (section 19) together with fundamental, analyst and multi-factor selection, and serves as a reference/control against all the criteria above.</w:t>
            </w:r>
          </w:p>
        </w:tc>
      </w:tr>
      <w:tr>
        <w:tc>
          <w:tcPr>
            <w:tcW w:type="dxa" w:w="4675"/>
            <w:tcMar>
              <w:top w:type="dxa" w:w="100"/>
              <w:left w:type="dxa" w:w="120"/>
              <w:bottom w:type="dxa" w:w="100"/>
              <w:right w:type="dxa" w:w="120"/>
            </w:tcMar>
            <w:vAlign w:val="top"/>
          </w:tcPr>
          <w:p>
            <w:r>
              <w:rPr>
                <w:b w:val="false"/>
                <w:bCs w:val="false"/>
              </w:rPr>
              <w:t xml:space="preserve">• El criterio elegido solo decide QUÉ valores entran y permanecen; el peso y el beneficio de la cartera se calculan siempre con el precio, sea cual sea el criterio.</w:t>
            </w:r>
          </w:p>
        </w:tc>
        <w:tc>
          <w:tcPr>
            <w:tcW w:type="dxa" w:w="4675"/>
            <w:tcMar>
              <w:top w:type="dxa" w:w="100"/>
              <w:left w:type="dxa" w:w="120"/>
              <w:bottom w:type="dxa" w:w="100"/>
              <w:right w:type="dxa" w:w="120"/>
            </w:tcMar>
            <w:vAlign w:val="top"/>
          </w:tcPr>
          <w:p>
            <w:r>
              <w:rPr>
                <w:b w:val="false"/>
                <w:bCs w:val="false"/>
              </w:rPr>
              <w:t xml:space="preserve">• The chosen criterion only decides WHICH stocks enter and stay; the portfolio's weight and return are always calculated using price, regardless of the criterion.</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6. Selección inicial y pesos</w:t>
            </w:r>
          </w:p>
        </w:tc>
        <w:tc>
          <w:tcPr>
            <w:tcW w:type="dxa" w:w="4675"/>
            <w:shd w:fill="D9E2F3" w:val="clear"/>
            <w:tcMar>
              <w:top w:type="dxa" w:w="100"/>
              <w:left w:type="dxa" w:w="120"/>
              <w:bottom w:type="dxa" w:w="100"/>
              <w:right w:type="dxa" w:w="120"/>
            </w:tcMar>
            <w:vAlign w:val="top"/>
          </w:tcPr>
          <w:p>
            <w:r>
              <w:rPr>
                <w:b/>
                <w:bCs/>
                <w:color w:val="1F3864"/>
                <w:sz w:val="26"/>
                <w:szCs w:val="26"/>
              </w:rPr>
              <w:t xml:space="preserve">6. Initial selection and weights</w:t>
            </w:r>
          </w:p>
        </w:tc>
      </w:tr>
      <w:tr>
        <w:tc>
          <w:tcPr>
            <w:tcW w:type="dxa" w:w="4675"/>
            <w:tcMar>
              <w:top w:type="dxa" w:w="100"/>
              <w:left w:type="dxa" w:w="120"/>
              <w:bottom w:type="dxa" w:w="100"/>
              <w:right w:type="dxa" w:w="120"/>
            </w:tcMar>
            <w:vAlign w:val="top"/>
          </w:tcPr>
          <w:p>
            <w:r>
              <w:rPr>
                <w:b w:val="false"/>
                <w:bCs w:val="false"/>
              </w:rPr>
              <w:t xml:space="preserve">• Se seleccionan los N valores (3 a 6, 5 por defecto) con mayor puntuación ese día.</w:t>
            </w:r>
          </w:p>
        </w:tc>
        <w:tc>
          <w:tcPr>
            <w:tcW w:type="dxa" w:w="4675"/>
            <w:tcMar>
              <w:top w:type="dxa" w:w="100"/>
              <w:left w:type="dxa" w:w="120"/>
              <w:bottom w:type="dxa" w:w="100"/>
              <w:right w:type="dxa" w:w="120"/>
            </w:tcMar>
            <w:vAlign w:val="top"/>
          </w:tcPr>
          <w:p>
            <w:r>
              <w:rPr>
                <w:b w:val="false"/>
                <w:bCs w:val="false"/>
              </w:rPr>
              <w:t xml:space="preserve">• The N stocks (3 to 6, 5 by default) with the highest score that day are selected.</w:t>
            </w:r>
          </w:p>
        </w:tc>
      </w:tr>
      <w:tr>
        <w:tc>
          <w:tcPr>
            <w:tcW w:type="dxa" w:w="4675"/>
            <w:tcMar>
              <w:top w:type="dxa" w:w="100"/>
              <w:left w:type="dxa" w:w="120"/>
              <w:bottom w:type="dxa" w:w="100"/>
              <w:right w:type="dxa" w:w="120"/>
            </w:tcMar>
            <w:vAlign w:val="top"/>
          </w:tcPr>
          <w:p>
            <w:r>
              <w:rPr>
                <w:b w:val="false"/>
                <w:bCs w:val="false"/>
              </w:rPr>
              <w:t xml:space="preserve">• Peso inicial: 100% dividido entre N, a partes iguales.</w:t>
            </w:r>
          </w:p>
        </w:tc>
        <w:tc>
          <w:tcPr>
            <w:tcW w:type="dxa" w:w="4675"/>
            <w:tcMar>
              <w:top w:type="dxa" w:w="100"/>
              <w:left w:type="dxa" w:w="120"/>
              <w:bottom w:type="dxa" w:w="100"/>
              <w:right w:type="dxa" w:w="120"/>
            </w:tcMar>
            <w:vAlign w:val="top"/>
          </w:tcPr>
          <w:p>
            <w:r>
              <w:rPr>
                <w:b w:val="false"/>
                <w:bCs w:val="false"/>
              </w:rPr>
              <w:t xml:space="preserve">• Initial weight: 100% divided by N, in equal parts.</w:t>
            </w:r>
          </w:p>
        </w:tc>
      </w:tr>
      <w:tr>
        <w:tc>
          <w:tcPr>
            <w:tcW w:type="dxa" w:w="4675"/>
            <w:tcMar>
              <w:top w:type="dxa" w:w="100"/>
              <w:left w:type="dxa" w:w="120"/>
              <w:bottom w:type="dxa" w:w="100"/>
              <w:right w:type="dxa" w:w="120"/>
            </w:tcMar>
            <w:vAlign w:val="top"/>
          </w:tcPr>
          <w:p>
            <w:r>
              <w:rPr>
                <w:b w:val="false"/>
                <w:bCs w:val="false"/>
              </w:rPr>
              <w:t xml:space="preserve">• Tope máximo de peso por componente (40% por defecto, configurable y optimizable) para asegurar una diversificación mínima.</w:t>
            </w:r>
          </w:p>
        </w:tc>
        <w:tc>
          <w:tcPr>
            <w:tcW w:type="dxa" w:w="4675"/>
            <w:tcMar>
              <w:top w:type="dxa" w:w="100"/>
              <w:left w:type="dxa" w:w="120"/>
              <w:bottom w:type="dxa" w:w="100"/>
              <w:right w:type="dxa" w:w="120"/>
            </w:tcMar>
            <w:vAlign w:val="top"/>
          </w:tcPr>
          <w:p>
            <w:r>
              <w:rPr>
                <w:b w:val="false"/>
                <w:bCs w:val="false"/>
              </w:rPr>
              <w:t xml:space="preserve">• Maximum weight cap per component (40% by default, configurable and optimizable) to ensure minimum diversification.</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7. Reglas de rebalanceo</w:t>
            </w:r>
          </w:p>
        </w:tc>
        <w:tc>
          <w:tcPr>
            <w:tcW w:type="dxa" w:w="4675"/>
            <w:shd w:fill="D9E2F3" w:val="clear"/>
            <w:tcMar>
              <w:top w:type="dxa" w:w="100"/>
              <w:left w:type="dxa" w:w="120"/>
              <w:bottom w:type="dxa" w:w="100"/>
              <w:right w:type="dxa" w:w="120"/>
            </w:tcMar>
            <w:vAlign w:val="top"/>
          </w:tcPr>
          <w:p>
            <w:r>
              <w:rPr>
                <w:b/>
                <w:bCs/>
                <w:color w:val="1F3864"/>
                <w:sz w:val="26"/>
                <w:szCs w:val="26"/>
              </w:rPr>
              <w:t xml:space="preserve">7. Rebalancing rules</w:t>
            </w:r>
          </w:p>
        </w:tc>
      </w:tr>
      <w:tr>
        <w:tc>
          <w:tcPr>
            <w:tcW w:type="dxa" w:w="4675"/>
            <w:tcMar>
              <w:top w:type="dxa" w:w="100"/>
              <w:left w:type="dxa" w:w="120"/>
              <w:bottom w:type="dxa" w:w="100"/>
              <w:right w:type="dxa" w:w="120"/>
            </w:tcMar>
            <w:vAlign w:val="top"/>
          </w:tcPr>
          <w:p>
            <w:r>
              <w:rPr>
                <w:b w:val="false"/>
                <w:bCs w:val="false"/>
              </w:rPr>
              <w:t xml:space="preserve">• Cada vez que toca rebalancear (ver sección 9) se recalcula el ranking y se compara con la cartera actual: los que ya estaban y siguen en el top-N permanecen; los que salen del top-N liberan su peso (salvo protección); los huecos se cubren con los siguientes del ranking.</w:t>
            </w:r>
          </w:p>
        </w:tc>
        <w:tc>
          <w:tcPr>
            <w:tcW w:type="dxa" w:w="4675"/>
            <w:tcMar>
              <w:top w:type="dxa" w:w="100"/>
              <w:left w:type="dxa" w:w="120"/>
              <w:bottom w:type="dxa" w:w="100"/>
              <w:right w:type="dxa" w:w="120"/>
            </w:tcMar>
            <w:vAlign w:val="top"/>
          </w:tcPr>
          <w:p>
            <w:r>
              <w:rPr>
                <w:b w:val="false"/>
                <w:bCs w:val="false"/>
              </w:rPr>
              <w:t xml:space="preserve">• Whenever a rebalance is triggered (see section 9), the ranking is recalculated and compared with the current portfolio: those already in and still in the top-N stay; those that drop out of the top-N free up their weight (unless protected); the gaps are filled by the next-ranked stocks.</w:t>
            </w:r>
          </w:p>
        </w:tc>
      </w:tr>
      <w:tr>
        <w:tc>
          <w:tcPr>
            <w:tcW w:type="dxa" w:w="4675"/>
            <w:tcMar>
              <w:top w:type="dxa" w:w="100"/>
              <w:left w:type="dxa" w:w="120"/>
              <w:bottom w:type="dxa" w:w="100"/>
              <w:right w:type="dxa" w:w="120"/>
            </w:tcMar>
            <w:vAlign w:val="top"/>
          </w:tcPr>
          <w:p>
            <w:r>
              <w:rPr>
                <w:b w:val="false"/>
                <w:bCs w:val="false"/>
              </w:rPr>
              <w:t xml:space="preserve">• Protección: un componente con más del 20% de peso no sale de la cartera aunque caiga del top-N, pero se le aplica una penalización (su incremento negativo de la sesión × factor de penalización, 2 por defecto y optimizable) que reduce su peso.</w:t>
            </w:r>
          </w:p>
        </w:tc>
        <w:tc>
          <w:tcPr>
            <w:tcW w:type="dxa" w:w="4675"/>
            <w:tcMar>
              <w:top w:type="dxa" w:w="100"/>
              <w:left w:type="dxa" w:w="120"/>
              <w:bottom w:type="dxa" w:w="100"/>
              <w:right w:type="dxa" w:w="120"/>
            </w:tcMar>
            <w:vAlign w:val="top"/>
          </w:tcPr>
          <w:p>
            <w:r>
              <w:rPr>
                <w:b w:val="false"/>
                <w:bCs w:val="false"/>
              </w:rPr>
              <w:t xml:space="preserve">• Protection: a component with more than 20% weight does not leave the portfolio even if it drops out of the top-N, but it is penalized (that session's negative price change × penalty factor, default 2 and optimizable), which reduces its weight.</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8. Reparto del peso liberado</w:t>
            </w:r>
          </w:p>
        </w:tc>
        <w:tc>
          <w:tcPr>
            <w:tcW w:type="dxa" w:w="4675"/>
            <w:shd w:fill="D9E2F3" w:val="clear"/>
            <w:tcMar>
              <w:top w:type="dxa" w:w="100"/>
              <w:left w:type="dxa" w:w="120"/>
              <w:bottom w:type="dxa" w:w="100"/>
              <w:right w:type="dxa" w:w="120"/>
            </w:tcMar>
            <w:vAlign w:val="top"/>
          </w:tcPr>
          <w:p>
            <w:r>
              <w:rPr>
                <w:b/>
                <w:bCs/>
                <w:color w:val="1F3864"/>
                <w:sz w:val="26"/>
                <w:szCs w:val="26"/>
              </w:rPr>
              <w:t xml:space="preserve">8. Distribution of freed-up weight</w:t>
            </w:r>
          </w:p>
        </w:tc>
      </w:tr>
      <w:tr>
        <w:tc>
          <w:tcPr>
            <w:tcW w:type="dxa" w:w="4675"/>
            <w:tcMar>
              <w:top w:type="dxa" w:w="100"/>
              <w:left w:type="dxa" w:w="120"/>
              <w:bottom w:type="dxa" w:w="100"/>
              <w:right w:type="dxa" w:w="120"/>
            </w:tcMar>
            <w:vAlign w:val="top"/>
          </w:tcPr>
          <w:p>
            <w:r>
              <w:rPr>
                <w:b w:val="false"/>
                <w:bCs w:val="false"/>
              </w:rPr>
              <w:t xml:space="preserve">• El peso liberado (por salidas + penalización de protegidos) se reparte a partes iguales, en un único paso, entre TODOS los componentes no protegidos de la nueva cartera (los que permanecen + los que entran).</w:t>
            </w:r>
          </w:p>
        </w:tc>
        <w:tc>
          <w:tcPr>
            <w:tcW w:type="dxa" w:w="4675"/>
            <w:tcMar>
              <w:top w:type="dxa" w:w="100"/>
              <w:left w:type="dxa" w:w="120"/>
              <w:bottom w:type="dxa" w:w="100"/>
              <w:right w:type="dxa" w:w="120"/>
            </w:tcMar>
            <w:vAlign w:val="top"/>
          </w:tcPr>
          <w:p>
            <w:r>
              <w:rPr>
                <w:b w:val="false"/>
                <w:bCs w:val="false"/>
              </w:rPr>
              <w:t xml:space="preserve">• The freed-up weight (from exits + protected-component penalties) is split equally, in a single step, among ALL non-protected components of the new portfolio (those that stay + those that enter).</w:t>
            </w:r>
          </w:p>
        </w:tc>
      </w:tr>
      <w:tr>
        <w:tc>
          <w:tcPr>
            <w:tcW w:type="dxa" w:w="4675"/>
            <w:tcMar>
              <w:top w:type="dxa" w:w="100"/>
              <w:left w:type="dxa" w:w="120"/>
              <w:bottom w:type="dxa" w:w="100"/>
              <w:right w:type="dxa" w:w="120"/>
            </w:tcMar>
            <w:vAlign w:val="top"/>
          </w:tcPr>
          <w:p>
            <w:r>
              <w:rPr>
                <w:b w:val="false"/>
                <w:bCs w:val="false"/>
              </w:rPr>
              <w:t xml:space="preserve">• Es el único método vigente. Se probó comparar con un reparto "proporcional" a la puntuación y con un reparto "libre" — con sesgo de anticipación, ya descartado —, y se abandonó la comparación: en las pruebas no aportaba mejora relevante frente al reparto fijo, que además es mucho más fácil de auditar.</w:t>
            </w:r>
          </w:p>
        </w:tc>
        <w:tc>
          <w:tcPr>
            <w:tcW w:type="dxa" w:w="4675"/>
            <w:tcMar>
              <w:top w:type="dxa" w:w="100"/>
              <w:left w:type="dxa" w:w="120"/>
              <w:bottom w:type="dxa" w:w="100"/>
              <w:right w:type="dxa" w:w="120"/>
            </w:tcMar>
            <w:vAlign w:val="top"/>
          </w:tcPr>
          <w:p>
            <w:r>
              <w:rPr>
                <w:b w:val="false"/>
                <w:bCs w:val="false"/>
              </w:rPr>
              <w:t xml:space="preserve">• It is the only method currently in use. Comparing it with a "proportional" distribution, weighted by score, and with a "free" distribution — with look-ahead bias, already discarded —, was tried and then dropped: in testing it added no meaningful improvement over the fixed distribution, which is also far easier to audit.</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9. Frecuencia de rebalanceo</w:t>
            </w:r>
          </w:p>
        </w:tc>
        <w:tc>
          <w:tcPr>
            <w:tcW w:type="dxa" w:w="4675"/>
            <w:shd w:fill="D9E2F3" w:val="clear"/>
            <w:tcMar>
              <w:top w:type="dxa" w:w="100"/>
              <w:left w:type="dxa" w:w="120"/>
              <w:bottom w:type="dxa" w:w="100"/>
              <w:right w:type="dxa" w:w="120"/>
            </w:tcMar>
            <w:vAlign w:val="top"/>
          </w:tcPr>
          <w:p>
            <w:r>
              <w:rPr>
                <w:b/>
                <w:bCs/>
                <w:color w:val="1F3864"/>
                <w:sz w:val="26"/>
                <w:szCs w:val="26"/>
              </w:rPr>
              <w:t xml:space="preserve">9. Rebalancing frequency</w:t>
            </w:r>
          </w:p>
        </w:tc>
      </w:tr>
      <w:tr>
        <w:tc>
          <w:tcPr>
            <w:tcW w:type="dxa" w:w="4675"/>
            <w:tcMar>
              <w:top w:type="dxa" w:w="100"/>
              <w:left w:type="dxa" w:w="120"/>
              <w:bottom w:type="dxa" w:w="100"/>
              <w:right w:type="dxa" w:w="120"/>
            </w:tcMar>
            <w:vAlign w:val="top"/>
          </w:tcPr>
          <w:p>
            <w:r>
              <w:rPr>
                <w:b w:val="false"/>
                <w:bCs w:val="false"/>
              </w:rPr>
              <w:t xml:space="preserve">• Por defecto, "diario": se rebalancea todos los días, con el coste de fricción, comisiones de compra/venta, que eso implica en la práctica.</w:t>
            </w:r>
          </w:p>
        </w:tc>
        <w:tc>
          <w:tcPr>
            <w:tcW w:type="dxa" w:w="4675"/>
            <w:tcMar>
              <w:top w:type="dxa" w:w="100"/>
              <w:left w:type="dxa" w:w="120"/>
              <w:bottom w:type="dxa" w:w="100"/>
              <w:right w:type="dxa" w:w="120"/>
            </w:tcMar>
            <w:vAlign w:val="top"/>
          </w:tcPr>
          <w:p>
            <w:r>
              <w:rPr>
                <w:b w:val="false"/>
                <w:bCs w:val="false"/>
              </w:rPr>
              <w:t xml:space="preserve">• Default: "daily" — rebalances every day, with the friction cost, buy/sell commissions, that implies in practice.</w:t>
            </w:r>
          </w:p>
        </w:tc>
      </w:tr>
      <w:tr>
        <w:tc>
          <w:tcPr>
            <w:tcW w:type="dxa" w:w="4675"/>
            <w:tcMar>
              <w:top w:type="dxa" w:w="100"/>
              <w:left w:type="dxa" w:w="120"/>
              <w:bottom w:type="dxa" w:w="100"/>
              <w:right w:type="dxa" w:w="120"/>
            </w:tcMar>
            <w:vAlign w:val="top"/>
          </w:tcPr>
          <w:p>
            <w:r>
              <w:rPr>
                <w:b w:val="false"/>
                <w:bCs w:val="false"/>
              </w:rPr>
              <w:t xml:space="preserve">• Alternativa configurable y optimizable: rebalancear solo cuando, de los componentes actuales, sobreviven K o menos en el nuevo top-N (K entre 0 y N−1). Mientras sobrevivan más, la cartera se mantiene fija y los pesos derivan solos con la cotización (sin operar, sin coste). Un protegido que ha caído del top-N no cuenta como superviviente a este efecto.</w:t>
            </w:r>
          </w:p>
        </w:tc>
        <w:tc>
          <w:tcPr>
            <w:tcW w:type="dxa" w:w="4675"/>
            <w:tcMar>
              <w:top w:type="dxa" w:w="100"/>
              <w:left w:type="dxa" w:w="120"/>
              <w:bottom w:type="dxa" w:w="100"/>
              <w:right w:type="dxa" w:w="120"/>
            </w:tcMar>
            <w:vAlign w:val="top"/>
          </w:tcPr>
          <w:p>
            <w:r>
              <w:rPr>
                <w:b w:val="false"/>
                <w:bCs w:val="false"/>
              </w:rPr>
              <w:t xml:space="preserve">• Configurable and optimizable alternative: only rebalance when, of the current components, K or fewer survive in the new top-N (K between 0 and N−1). While more survive, the portfolio stays fixed and weights simply drift with price (no trading, no cost). A protected component that has dropped out of the top-N does not count as a survivor for this purpose.</w:t>
            </w:r>
          </w:p>
        </w:tc>
      </w:tr>
      <w:tr>
        <w:tc>
          <w:tcPr>
            <w:tcW w:type="dxa" w:w="4675"/>
            <w:tcMar>
              <w:top w:type="dxa" w:w="100"/>
              <w:left w:type="dxa" w:w="120"/>
              <w:bottom w:type="dxa" w:w="100"/>
              <w:right w:type="dxa" w:w="120"/>
            </w:tcMar>
            <w:vAlign w:val="top"/>
          </w:tcPr>
          <w:p>
            <w:r>
              <w:rPr>
                <w:b w:val="false"/>
                <w:bCs w:val="false"/>
              </w:rPr>
              <w:t xml:space="preserve">• Valor especial "nunca", de uso interno: la cartera se mantiene fija indefinidamente. Lo usa la selección por "veces seleccionado" (sección 18) para simular el resultado de mantener una cartera elegida de antemano, sin tocarla.</w:t>
            </w:r>
          </w:p>
        </w:tc>
        <w:tc>
          <w:tcPr>
            <w:tcW w:type="dxa" w:w="4675"/>
            <w:tcMar>
              <w:top w:type="dxa" w:w="100"/>
              <w:left w:type="dxa" w:w="120"/>
              <w:bottom w:type="dxa" w:w="100"/>
              <w:right w:type="dxa" w:w="120"/>
            </w:tcMar>
            <w:vAlign w:val="top"/>
          </w:tcPr>
          <w:p>
            <w:r>
              <w:rPr>
                <w:b w:val="false"/>
                <w:bCs w:val="false"/>
              </w:rPr>
              <w:t xml:space="preserve">• Special "never" value, for internal use: the portfolio stays fixed indefinitely. Used by the "times selected" selection (section 18) to simulate holding a portfolio chosen in advance, untouched.</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10. Contador "veces seleccionado"</w:t>
            </w:r>
          </w:p>
        </w:tc>
        <w:tc>
          <w:tcPr>
            <w:tcW w:type="dxa" w:w="4675"/>
            <w:shd w:fill="D9E2F3" w:val="clear"/>
            <w:tcMar>
              <w:top w:type="dxa" w:w="100"/>
              <w:left w:type="dxa" w:w="120"/>
              <w:bottom w:type="dxa" w:w="100"/>
              <w:right w:type="dxa" w:w="120"/>
            </w:tcMar>
            <w:vAlign w:val="top"/>
          </w:tcPr>
          <w:p>
            <w:r>
              <w:rPr>
                <w:b/>
                <w:bCs/>
                <w:color w:val="1F3864"/>
                <w:sz w:val="26"/>
                <w:szCs w:val="26"/>
              </w:rPr>
              <w:t xml:space="preserve">10. "Times selected" counter</w:t>
            </w:r>
          </w:p>
        </w:tc>
      </w:tr>
      <w:tr>
        <w:tc>
          <w:tcPr>
            <w:tcW w:type="dxa" w:w="4675"/>
            <w:tcMar>
              <w:top w:type="dxa" w:w="100"/>
              <w:left w:type="dxa" w:w="120"/>
              <w:bottom w:type="dxa" w:w="100"/>
              <w:right w:type="dxa" w:w="120"/>
            </w:tcMar>
            <w:vAlign w:val="top"/>
          </w:tcPr>
          <w:p>
            <w:r>
              <w:rPr>
                <w:b w:val="false"/>
                <w:bCs w:val="false"/>
              </w:rPr>
              <w:t xml:space="preserve">• Contador acumulado, no racha, de los días que cada valor ha estado en cartera, entrando o permaneciendo; no se reinicia si el valor sale y vuelve a entrar más tarde.</w:t>
            </w:r>
          </w:p>
        </w:tc>
        <w:tc>
          <w:tcPr>
            <w:tcW w:type="dxa" w:w="4675"/>
            <w:tcMar>
              <w:top w:type="dxa" w:w="100"/>
              <w:left w:type="dxa" w:w="120"/>
              <w:bottom w:type="dxa" w:w="100"/>
              <w:right w:type="dxa" w:w="120"/>
            </w:tcMar>
            <w:vAlign w:val="top"/>
          </w:tcPr>
          <w:p>
            <w:r>
              <w:rPr>
                <w:b w:val="false"/>
                <w:bCs w:val="false"/>
              </w:rPr>
              <w:t xml:space="preserve">• Cumulative counter, not a streak, of the days each stock has been in the portfolio, whether entering or staying; it does not reset if the stock leaves and re-enters later.</w:t>
            </w:r>
          </w:p>
        </w:tc>
      </w:tr>
      <w:tr>
        <w:tc>
          <w:tcPr>
            <w:tcW w:type="dxa" w:w="4675"/>
            <w:tcMar>
              <w:top w:type="dxa" w:w="100"/>
              <w:left w:type="dxa" w:w="120"/>
              <w:bottom w:type="dxa" w:w="100"/>
              <w:right w:type="dxa" w:w="120"/>
            </w:tcMar>
            <w:vAlign w:val="top"/>
          </w:tcPr>
          <w:p>
            <w:r>
              <w:rPr>
                <w:b w:val="false"/>
                <w:bCs w:val="false"/>
              </w:rPr>
              <w:t xml:space="preserve">• Se muestra como columna en las tablas de composición de cartera de cualquier criterio, y es la base de la selección por "veces seleccionado" (sección 18).</w:t>
            </w:r>
          </w:p>
        </w:tc>
        <w:tc>
          <w:tcPr>
            <w:tcW w:type="dxa" w:w="4675"/>
            <w:tcMar>
              <w:top w:type="dxa" w:w="100"/>
              <w:left w:type="dxa" w:w="120"/>
              <w:bottom w:type="dxa" w:w="100"/>
              <w:right w:type="dxa" w:w="120"/>
            </w:tcMar>
            <w:vAlign w:val="top"/>
          </w:tcPr>
          <w:p>
            <w:r>
              <w:rPr>
                <w:b w:val="false"/>
                <w:bCs w:val="false"/>
              </w:rPr>
              <w:t xml:space="preserve">• Shown as a column in the portfolio-composition tables of any criterion, and is the basis for the "times selected" selection (section 18).</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11. Datos</w:t>
            </w:r>
          </w:p>
        </w:tc>
        <w:tc>
          <w:tcPr>
            <w:tcW w:type="dxa" w:w="4675"/>
            <w:shd w:fill="D9E2F3" w:val="clear"/>
            <w:tcMar>
              <w:top w:type="dxa" w:w="100"/>
              <w:left w:type="dxa" w:w="120"/>
              <w:bottom w:type="dxa" w:w="100"/>
              <w:right w:type="dxa" w:w="120"/>
            </w:tcMar>
            <w:vAlign w:val="top"/>
          </w:tcPr>
          <w:p>
            <w:r>
              <w:rPr>
                <w:b/>
                <w:bCs/>
                <w:color w:val="1F3864"/>
                <w:sz w:val="26"/>
                <w:szCs w:val="26"/>
              </w:rPr>
              <w:t xml:space="preserve">11. Data</w:t>
            </w:r>
          </w:p>
        </w:tc>
      </w:tr>
      <w:tr>
        <w:tc>
          <w:tcPr>
            <w:tcW w:type="dxa" w:w="4675"/>
            <w:tcMar>
              <w:top w:type="dxa" w:w="100"/>
              <w:left w:type="dxa" w:w="120"/>
              <w:bottom w:type="dxa" w:w="100"/>
              <w:right w:type="dxa" w:w="120"/>
            </w:tcMar>
            <w:vAlign w:val="top"/>
          </w:tcPr>
          <w:p>
            <w:r>
              <w:rPr>
                <w:b w:val="false"/>
                <w:bCs w:val="false"/>
              </w:rPr>
              <w:t xml:space="preserve">• Fuente: Yahoo Finance (librería yahoo-finance2) — cotización de cierre diaria y volumen de negociación de cada sesión, usados por todos los criterios técnicos (secciones 5, 15-16, 20).</w:t>
            </w:r>
          </w:p>
        </w:tc>
        <w:tc>
          <w:tcPr>
            <w:tcW w:type="dxa" w:w="4675"/>
            <w:tcMar>
              <w:top w:type="dxa" w:w="100"/>
              <w:left w:type="dxa" w:w="120"/>
              <w:bottom w:type="dxa" w:w="100"/>
              <w:right w:type="dxa" w:w="120"/>
            </w:tcMar>
            <w:vAlign w:val="top"/>
          </w:tcPr>
          <w:p>
            <w:r>
              <w:rPr>
                <w:b w:val="false"/>
                <w:bCs w:val="false"/>
              </w:rPr>
              <w:t xml:space="preserve">• Source: Yahoo Finance (yahoo-finance2 library) — daily closing price and trading volume for each session, used by every technical criterion (sections 5, 15-16, 20).</w:t>
            </w:r>
          </w:p>
        </w:tc>
      </w:tr>
      <w:tr>
        <w:tc>
          <w:tcPr>
            <w:tcW w:type="dxa" w:w="4675"/>
            <w:tcMar>
              <w:top w:type="dxa" w:w="100"/>
              <w:left w:type="dxa" w:w="120"/>
              <w:bottom w:type="dxa" w:w="100"/>
              <w:right w:type="dxa" w:w="120"/>
            </w:tcMar>
            <w:vAlign w:val="top"/>
          </w:tcPr>
          <w:p>
            <w:r>
              <w:rPr>
                <w:b w:val="false"/>
                <w:bCs w:val="false"/>
              </w:rPr>
              <w:t xml:space="preserve">• Ventana de descarga configurable: 20, 30, 50, 80 o 120 sesiones (20 por defecto) — ver sección 14. Sustituye a la ventana 10/15/20/30/40/60 de versiones anteriores de este documento, ya no vigente en el código.</w:t>
            </w:r>
          </w:p>
        </w:tc>
        <w:tc>
          <w:tcPr>
            <w:tcW w:type="dxa" w:w="4675"/>
            <w:tcMar>
              <w:top w:type="dxa" w:w="100"/>
              <w:left w:type="dxa" w:w="120"/>
              <w:bottom w:type="dxa" w:w="100"/>
              <w:right w:type="dxa" w:w="120"/>
            </w:tcMar>
            <w:vAlign w:val="top"/>
          </w:tcPr>
          <w:p>
            <w:r>
              <w:rPr>
                <w:b w:val="false"/>
                <w:bCs w:val="false"/>
              </w:rPr>
              <w:t xml:space="preserve">• Configurable download window: 20, 30, 50, 80 or 120 sessions (20 by default) — see section 14. Replaces the 10/15/20/30/40/60 window from earlier versions of this document, no longer current in the code.</w:t>
            </w:r>
          </w:p>
        </w:tc>
      </w:tr>
      <w:tr>
        <w:tc>
          <w:tcPr>
            <w:tcW w:type="dxa" w:w="4675"/>
            <w:tcMar>
              <w:top w:type="dxa" w:w="100"/>
              <w:left w:type="dxa" w:w="120"/>
              <w:bottom w:type="dxa" w:w="100"/>
              <w:right w:type="dxa" w:w="120"/>
            </w:tcMar>
            <w:vAlign w:val="top"/>
          </w:tcPr>
          <w:p>
            <w:r>
              <w:rPr>
                <w:b w:val="false"/>
                <w:bCs w:val="false"/>
              </w:rPr>
              <w:t xml:space="preserve">• Para las selecciones alternativas y las comprobaciones de auditoría (secciones 19, 21, 23): datos fundamentales de hoy — PER, PER futuro, EPS, EPS futuro, precio/valor contable, rentabilidad por dividendo, precio actual, máximo y mínimo de 52 semanas — y consenso de analistas de hoy — de 1, compra fuerte, a 5, venta fuerte, y número de analistas que cubren el valor —. Ninguno de los dos tiene histórico diario en Yahoo Finance, así que se usan siempre como una foto del dato de hoy.</w:t>
            </w:r>
          </w:p>
        </w:tc>
        <w:tc>
          <w:tcPr>
            <w:tcW w:type="dxa" w:w="4675"/>
            <w:tcMar>
              <w:top w:type="dxa" w:w="100"/>
              <w:left w:type="dxa" w:w="120"/>
              <w:bottom w:type="dxa" w:w="100"/>
              <w:right w:type="dxa" w:w="120"/>
            </w:tcMar>
            <w:vAlign w:val="top"/>
          </w:tcPr>
          <w:p>
            <w:r>
              <w:rPr>
                <w:b w:val="false"/>
                <w:bCs w:val="false"/>
              </w:rPr>
              <w:t xml:space="preserve">• For the alternative selections and the audit checks (sections 19, 21, 23): today's fundamental data — P/E, forward P/E, EPS, forward EPS, price/book, dividend yield, current price, 52-week high and low — and today's analyst consensus — from 1, strong buy, to 5, strong sell, and the number of analysts covering the stock —. Neither has daily history in Yahoo Finance, so they're always used as a snapshot of today's data.</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12. Función beneficio</w:t>
            </w:r>
          </w:p>
        </w:tc>
        <w:tc>
          <w:tcPr>
            <w:tcW w:type="dxa" w:w="4675"/>
            <w:shd w:fill="D9E2F3" w:val="clear"/>
            <w:tcMar>
              <w:top w:type="dxa" w:w="100"/>
              <w:left w:type="dxa" w:w="120"/>
              <w:bottom w:type="dxa" w:w="100"/>
              <w:right w:type="dxa" w:w="120"/>
            </w:tcMar>
            <w:vAlign w:val="top"/>
          </w:tcPr>
          <w:p>
            <w:r>
              <w:rPr>
                <w:b/>
                <w:bCs/>
                <w:color w:val="1F3864"/>
                <w:sz w:val="26"/>
                <w:szCs w:val="26"/>
              </w:rPr>
              <w:t xml:space="preserve">12. Return function</w:t>
            </w:r>
          </w:p>
        </w:tc>
      </w:tr>
      <w:tr>
        <w:tc>
          <w:tcPr>
            <w:tcW w:type="dxa" w:w="4675"/>
            <w:tcMar>
              <w:top w:type="dxa" w:w="100"/>
              <w:left w:type="dxa" w:w="120"/>
              <w:bottom w:type="dxa" w:w="100"/>
              <w:right w:type="dxa" w:w="120"/>
            </w:tcMar>
            <w:vAlign w:val="top"/>
          </w:tcPr>
          <w:p>
            <w:r>
              <w:rPr>
                <w:b w:val="false"/>
                <w:bCs w:val="false"/>
              </w:rPr>
              <w:t xml:space="preserve">• Beneficio ponderado de un día = suma, para cada componente en cartera, de (peso/100) × (cierre de hoy / cierre de ayer).</w:t>
            </w:r>
          </w:p>
        </w:tc>
        <w:tc>
          <w:tcPr>
            <w:tcW w:type="dxa" w:w="4675"/>
            <w:tcMar>
              <w:top w:type="dxa" w:w="100"/>
              <w:left w:type="dxa" w:w="120"/>
              <w:bottom w:type="dxa" w:w="100"/>
              <w:right w:type="dxa" w:w="120"/>
            </w:tcMar>
            <w:vAlign w:val="top"/>
          </w:tcPr>
          <w:p>
            <w:r>
              <w:rPr>
                <w:b w:val="false"/>
                <w:bCs w:val="false"/>
              </w:rPr>
              <w:t xml:space="preserve">• Weighted return for a day = sum, for each component in the portfolio, of (weight/100) × (today's close / yesterday's close).</w:t>
            </w:r>
          </w:p>
        </w:tc>
      </w:tr>
      <w:tr>
        <w:tc>
          <w:tcPr>
            <w:tcW w:type="dxa" w:w="4675"/>
            <w:tcMar>
              <w:top w:type="dxa" w:w="100"/>
              <w:left w:type="dxa" w:w="120"/>
              <w:bottom w:type="dxa" w:w="100"/>
              <w:right w:type="dxa" w:w="120"/>
            </w:tcMar>
            <w:vAlign w:val="top"/>
          </w:tcPr>
          <w:p>
            <w:r>
              <w:rPr>
                <w:b w:val="false"/>
                <w:bCs w:val="false"/>
              </w:rPr>
              <w:t xml:space="preserve">• "Beneficio sin cambio": el beneficio de la cartera ANTERIOR a la decisión de hoy, la que ya estaba formada el día antes, es la única cifra realmente alcanzable en la práctica, y la que se usa para medir y optimizar el modelo. El beneficio de la cartera recién seleccionada ese mismo día no lo es.</w:t>
            </w:r>
          </w:p>
        </w:tc>
        <w:tc>
          <w:tcPr>
            <w:tcW w:type="dxa" w:w="4675"/>
            <w:tcMar>
              <w:top w:type="dxa" w:w="100"/>
              <w:left w:type="dxa" w:w="120"/>
              <w:bottom w:type="dxa" w:w="100"/>
              <w:right w:type="dxa" w:w="120"/>
            </w:tcMar>
            <w:vAlign w:val="top"/>
          </w:tcPr>
          <w:p>
            <w:r>
              <w:rPr>
                <w:b w:val="false"/>
                <w:bCs w:val="false"/>
              </w:rPr>
              <w:t xml:space="preserve">• "Return with no change": the return of the portfolio as it stood BEFORE today's decision, the one already formed the day before, is the only figure genuinely achievable in practice, and the one used to measure and optimize the model. The return of the just-selected portfolio that same day is not.</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13. Optimización de variables</w:t>
            </w:r>
          </w:p>
        </w:tc>
        <w:tc>
          <w:tcPr>
            <w:tcW w:type="dxa" w:w="4675"/>
            <w:shd w:fill="D9E2F3" w:val="clear"/>
            <w:tcMar>
              <w:top w:type="dxa" w:w="100"/>
              <w:left w:type="dxa" w:w="120"/>
              <w:bottom w:type="dxa" w:w="100"/>
              <w:right w:type="dxa" w:w="120"/>
            </w:tcMar>
            <w:vAlign w:val="top"/>
          </w:tcPr>
          <w:p>
            <w:r>
              <w:rPr>
                <w:b/>
                <w:bCs/>
                <w:color w:val="1F3864"/>
                <w:sz w:val="26"/>
                <w:szCs w:val="26"/>
              </w:rPr>
              <w:t xml:space="preserve">13. Variable optimization</w:t>
            </w:r>
          </w:p>
        </w:tc>
      </w:tr>
      <w:tr>
        <w:tc>
          <w:tcPr>
            <w:tcW w:type="dxa" w:w="4675"/>
            <w:tcMar>
              <w:top w:type="dxa" w:w="100"/>
              <w:left w:type="dxa" w:w="120"/>
              <w:bottom w:type="dxa" w:w="100"/>
              <w:right w:type="dxa" w:w="120"/>
            </w:tcMar>
            <w:vAlign w:val="top"/>
          </w:tcPr>
          <w:p>
            <w:r>
              <w:rPr>
                <w:b w:val="false"/>
                <w:bCs w:val="false"/>
              </w:rPr>
              <w:t xml:space="preserve">• Por búsqueda exhaustiva (no aprendizaje automático), maximizando la suma del "beneficio sin cambio" de las carteras anteriores en toda la ventana: factor de penalización (0–3, pasos de 0,1), número de componentes (3 a 6), tope de diversificación (mínimo posible a 70%, pasos de 5), y frecuencia de rebalanceo ("diario" o cada umbral de supervivientes 0..N−1).</w:t>
            </w:r>
          </w:p>
        </w:tc>
        <w:tc>
          <w:tcPr>
            <w:tcW w:type="dxa" w:w="4675"/>
            <w:tcMar>
              <w:top w:type="dxa" w:w="100"/>
              <w:left w:type="dxa" w:w="120"/>
              <w:bottom w:type="dxa" w:w="100"/>
              <w:right w:type="dxa" w:w="120"/>
            </w:tcMar>
            <w:vAlign w:val="top"/>
          </w:tcPr>
          <w:p>
            <w:r>
              <w:rPr>
                <w:b w:val="false"/>
                <w:bCs w:val="false"/>
              </w:rPr>
              <w:t xml:space="preserve">• By exhaustive search (not machine learning), maximizing the sum of the "return with no change" of the previous portfolios across the whole window: penalty factor (0–3, steps of 0.1), number of components (3 to 6), diversification cap (lowest possible value to 70%, steps of 5), and rebalancing frequency ("daily" or each survivor threshold 0..N−1).</w:t>
            </w:r>
          </w:p>
        </w:tc>
      </w:tr>
      <w:tr>
        <w:tc>
          <w:tcPr>
            <w:tcW w:type="dxa" w:w="4675"/>
            <w:tcMar>
              <w:top w:type="dxa" w:w="100"/>
              <w:left w:type="dxa" w:w="120"/>
              <w:bottom w:type="dxa" w:w="100"/>
              <w:right w:type="dxa" w:w="120"/>
            </w:tcMar>
            <w:vAlign w:val="top"/>
          </w:tcPr>
          <w:p>
            <w:r>
              <w:rPr>
                <w:b w:val="false"/>
                <w:bCs w:val="false"/>
              </w:rPr>
              <w:t xml:space="preserve">• Resultados guardados en la sesión del navegador; se reutilizan hasta que se recarga la página o se vuelve a optimizar.</w:t>
            </w:r>
          </w:p>
        </w:tc>
        <w:tc>
          <w:tcPr>
            <w:tcW w:type="dxa" w:w="4675"/>
            <w:tcMar>
              <w:top w:type="dxa" w:w="100"/>
              <w:left w:type="dxa" w:w="120"/>
              <w:bottom w:type="dxa" w:w="100"/>
              <w:right w:type="dxa" w:w="120"/>
            </w:tcMar>
            <w:vAlign w:val="top"/>
          </w:tcPr>
          <w:p>
            <w:r>
              <w:rPr>
                <w:b w:val="false"/>
                <w:bCs w:val="false"/>
              </w:rPr>
              <w:t xml:space="preserve">• Results are stored in the browser session; reused until the page is reloaded or optimization is run again.</w:t>
            </w:r>
          </w:p>
        </w:tc>
      </w:tr>
      <w:tr>
        <w:tc>
          <w:tcPr>
            <w:tcW w:type="dxa" w:w="4675"/>
            <w:tcMar>
              <w:top w:type="dxa" w:w="100"/>
              <w:left w:type="dxa" w:w="120"/>
              <w:bottom w:type="dxa" w:w="100"/>
              <w:right w:type="dxa" w:w="120"/>
            </w:tcMar>
            <w:vAlign w:val="top"/>
          </w:tcPr>
          <w:p>
            <w:r>
              <w:rPr>
                <w:b w:val="false"/>
                <w:bCs w:val="false"/>
              </w:rPr>
              <w:t xml:space="preserve">• El número de sesiones promediadas (sección 5) y la ventana de backtest (sección 14) NO se optimizan automáticamente: cambiar cualquiera de los dos implica recalcular todo desde los datos ya descargados — o volver a descargarlos, en el caso de la ventana —, así que se ajustan a mano y se vuelve a ejecutar el apartado que interese con el nuevo valor.</w:t>
            </w:r>
          </w:p>
        </w:tc>
        <w:tc>
          <w:tcPr>
            <w:tcW w:type="dxa" w:w="4675"/>
            <w:tcMar>
              <w:top w:type="dxa" w:w="100"/>
              <w:left w:type="dxa" w:w="120"/>
              <w:bottom w:type="dxa" w:w="100"/>
              <w:right w:type="dxa" w:w="120"/>
            </w:tcMar>
            <w:vAlign w:val="top"/>
          </w:tcPr>
          <w:p>
            <w:r>
              <w:rPr>
                <w:b w:val="false"/>
                <w:bCs w:val="false"/>
              </w:rPr>
              <w:t xml:space="preserve">• The number of sessions averaged (section 5) and the backtest window (section 14) are NOT optimized automatically: changing either means recalculating everything from the data already downloaded — or downloading it again, in the case of the window —, so they are set by hand and whichever section is of interest is re-run with the new value.</w:t>
            </w:r>
          </w:p>
        </w:tc>
      </w:tr>
      <w:tr>
        <w:tc>
          <w:tcPr>
            <w:tcW w:type="dxa" w:w="4675"/>
            <w:tcMar>
              <w:top w:type="dxa" w:w="100"/>
              <w:left w:type="dxa" w:w="120"/>
              <w:bottom w:type="dxa" w:w="100"/>
              <w:right w:type="dxa" w:w="120"/>
            </w:tcMar>
            <w:vAlign w:val="top"/>
          </w:tcPr>
          <w:p>
            <w:r>
              <w:rPr>
                <w:b w:val="false"/>
                <w:bCs w:val="false"/>
              </w:rPr>
              <w:t xml:space="preserve">• "Ejecutar cadena de selección" (sección 17) encadena automáticamente las cuatro optimizaciones anteriores, en orden, y con el resultado ejecuta la selección de cartera.</w:t>
            </w:r>
          </w:p>
        </w:tc>
        <w:tc>
          <w:tcPr>
            <w:tcW w:type="dxa" w:w="4675"/>
            <w:tcMar>
              <w:top w:type="dxa" w:w="100"/>
              <w:left w:type="dxa" w:w="120"/>
              <w:bottom w:type="dxa" w:w="100"/>
              <w:right w:type="dxa" w:w="120"/>
            </w:tcMar>
            <w:vAlign w:val="top"/>
          </w:tcPr>
          <w:p>
            <w:r>
              <w:rPr>
                <w:b w:val="false"/>
                <w:bCs w:val="false"/>
              </w:rPr>
              <w:t xml:space="preserve">• "Run selection chain" (section 17) automatically chains the four optimizations above, in order, and runs the portfolio selection with the result.</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14. Configuración de la ventana del backtest</w:t>
            </w:r>
          </w:p>
        </w:tc>
        <w:tc>
          <w:tcPr>
            <w:tcW w:type="dxa" w:w="4675"/>
            <w:shd w:fill="D9E2F3" w:val="clear"/>
            <w:tcMar>
              <w:top w:type="dxa" w:w="100"/>
              <w:left w:type="dxa" w:w="120"/>
              <w:bottom w:type="dxa" w:w="100"/>
              <w:right w:type="dxa" w:w="120"/>
            </w:tcMar>
            <w:vAlign w:val="top"/>
          </w:tcPr>
          <w:p>
            <w:r>
              <w:rPr>
                <w:b/>
                <w:bCs/>
                <w:color w:val="1F3864"/>
                <w:sz w:val="26"/>
                <w:szCs w:val="26"/>
              </w:rPr>
              <w:t xml:space="preserve">14. Backtest window configuration</w:t>
            </w:r>
          </w:p>
        </w:tc>
      </w:tr>
      <w:tr>
        <w:tc>
          <w:tcPr>
            <w:tcW w:type="dxa" w:w="4675"/>
            <w:tcMar>
              <w:top w:type="dxa" w:w="100"/>
              <w:left w:type="dxa" w:w="120"/>
              <w:bottom w:type="dxa" w:w="100"/>
              <w:right w:type="dxa" w:w="120"/>
            </w:tcMar>
            <w:vAlign w:val="top"/>
          </w:tcPr>
          <w:p>
            <w:r>
              <w:rPr>
                <w:b w:val="false"/>
                <w:bCs w:val="false"/>
              </w:rPr>
              <w:t xml:space="preserve">• Nº de sesiones configurable (20, 30, 50, 80 o 120). No se optimiza automáticamente — cambiarlo implica volver a descargar los datos —, pero se puede fijar a mano y volver a ejecutar cualquier apartado con el nuevo valor.</w:t>
            </w:r>
          </w:p>
        </w:tc>
        <w:tc>
          <w:tcPr>
            <w:tcW w:type="dxa" w:w="4675"/>
            <w:tcMar>
              <w:top w:type="dxa" w:w="100"/>
              <w:left w:type="dxa" w:w="120"/>
              <w:bottom w:type="dxa" w:w="100"/>
              <w:right w:type="dxa" w:w="120"/>
            </w:tcMar>
            <w:vAlign w:val="top"/>
          </w:tcPr>
          <w:p>
            <w:r>
              <w:rPr>
                <w:b w:val="false"/>
                <w:bCs w:val="false"/>
              </w:rPr>
              <w:t xml:space="preserve">• Configurable number of sessions (20, 30, 50, 80 or 120). Not optimized automatically — changing it means re-downloading the data —, but it can be set manually and any section re-run with the new value.</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15. Selección de los componentes de la cartera</w:t>
            </w:r>
          </w:p>
        </w:tc>
        <w:tc>
          <w:tcPr>
            <w:tcW w:type="dxa" w:w="4675"/>
            <w:shd w:fill="D9E2F3" w:val="clear"/>
            <w:tcMar>
              <w:top w:type="dxa" w:w="100"/>
              <w:left w:type="dxa" w:w="120"/>
              <w:bottom w:type="dxa" w:w="100"/>
              <w:right w:type="dxa" w:w="120"/>
            </w:tcMar>
            <w:vAlign w:val="top"/>
          </w:tcPr>
          <w:p>
            <w:r>
              <w:rPr>
                <w:b/>
                <w:bCs/>
                <w:color w:val="1F3864"/>
                <w:sz w:val="26"/>
                <w:szCs w:val="26"/>
              </w:rPr>
              <w:t xml:space="preserve">15. Selection of portfolio components</w:t>
            </w:r>
          </w:p>
        </w:tc>
      </w:tr>
      <w:tr>
        <w:tc>
          <w:tcPr>
            <w:tcW w:type="dxa" w:w="4675"/>
            <w:tcMar>
              <w:top w:type="dxa" w:w="100"/>
              <w:left w:type="dxa" w:w="120"/>
              <w:bottom w:type="dxa" w:w="100"/>
              <w:right w:type="dxa" w:w="120"/>
            </w:tcMar>
            <w:vAlign w:val="top"/>
          </w:tcPr>
          <w:p>
            <w:r>
              <w:rPr>
                <w:b w:val="false"/>
                <w:bCs w:val="false"/>
              </w:rPr>
              <w:t xml:space="preserve">• Vista día a día de la cartera anterior y la recién seleccionada, con su beneficio, el incremento diario del propio índice elegido para comparar visualmente, y si ese día hubo o no rebalanceo.</w:t>
            </w:r>
          </w:p>
        </w:tc>
        <w:tc>
          <w:tcPr>
            <w:tcW w:type="dxa" w:w="4675"/>
            <w:tcMar>
              <w:top w:type="dxa" w:w="100"/>
              <w:left w:type="dxa" w:w="120"/>
              <w:bottom w:type="dxa" w:w="100"/>
              <w:right w:type="dxa" w:w="120"/>
            </w:tcMar>
            <w:vAlign w:val="top"/>
          </w:tcPr>
          <w:p>
            <w:r>
              <w:rPr>
                <w:b w:val="false"/>
                <w:bCs w:val="false"/>
              </w:rPr>
              <w:t xml:space="preserve">• Day-by-day view of the previous and the newly selected portfolio, with its return, the chosen index's own daily change for visual comparison, and whether that day triggered a rebalance.</w:t>
            </w:r>
          </w:p>
        </w:tc>
      </w:tr>
      <w:tr>
        <w:tc>
          <w:tcPr>
            <w:tcW w:type="dxa" w:w="4675"/>
            <w:tcMar>
              <w:top w:type="dxa" w:w="100"/>
              <w:left w:type="dxa" w:w="120"/>
              <w:bottom w:type="dxa" w:w="100"/>
              <w:right w:type="dxa" w:w="120"/>
            </w:tcMar>
            <w:vAlign w:val="top"/>
          </w:tcPr>
          <w:p>
            <w:r>
              <w:rPr>
                <w:b w:val="false"/>
                <w:bCs w:val="false"/>
              </w:rPr>
              <w:t xml:space="preserve">• Al final se muestra la rentabilidad total acumulada de las carteras anteriores frente a la del índice en el mismo periodo, y el coeficiente de correlación de Pearson entre el beneficio diario de la cartera y el incremento diario del índice.</w:t>
            </w:r>
          </w:p>
        </w:tc>
        <w:tc>
          <w:tcPr>
            <w:tcW w:type="dxa" w:w="4675"/>
            <w:tcMar>
              <w:top w:type="dxa" w:w="100"/>
              <w:left w:type="dxa" w:w="120"/>
              <w:bottom w:type="dxa" w:w="100"/>
              <w:right w:type="dxa" w:w="120"/>
            </w:tcMar>
            <w:vAlign w:val="top"/>
          </w:tcPr>
          <w:p>
            <w:r>
              <w:rPr>
                <w:b w:val="false"/>
                <w:bCs w:val="false"/>
              </w:rPr>
              <w:t xml:space="preserve">• At the end, the total accumulated return of the previous portfolios is shown against the index's return over the same period, along with the Pearson correlation coefficient between the portfolio's daily return and the index's daily change.</w:t>
            </w:r>
          </w:p>
        </w:tc>
      </w:tr>
      <w:tr>
        <w:tc>
          <w:tcPr>
            <w:tcW w:type="dxa" w:w="4675"/>
            <w:tcMar>
              <w:top w:type="dxa" w:w="100"/>
              <w:left w:type="dxa" w:w="120"/>
              <w:bottom w:type="dxa" w:w="100"/>
              <w:right w:type="dxa" w:w="120"/>
            </w:tcMar>
            <w:vAlign w:val="top"/>
          </w:tcPr>
          <w:p>
            <w:r>
              <w:rPr>
                <w:b w:val="false"/>
                <w:bCs w:val="false"/>
              </w:rPr>
              <w:t xml:space="preserve">• Toda tabla de esta sección se puede descargar o compartir en PDF (sección 24).</w:t>
            </w:r>
          </w:p>
        </w:tc>
        <w:tc>
          <w:tcPr>
            <w:tcW w:type="dxa" w:w="4675"/>
            <w:tcMar>
              <w:top w:type="dxa" w:w="100"/>
              <w:left w:type="dxa" w:w="120"/>
              <w:bottom w:type="dxa" w:w="100"/>
              <w:right w:type="dxa" w:w="120"/>
            </w:tcMar>
            <w:vAlign w:val="top"/>
          </w:tcPr>
          <w:p>
            <w:r>
              <w:rPr>
                <w:b w:val="false"/>
                <w:bCs w:val="false"/>
              </w:rPr>
              <w:t xml:space="preserve">• Every table in this section can be downloaded or shared as a PDF (section 24).</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16. Selección técnica por volumen, flujo de dinero y sus antítesis</w:t>
            </w:r>
          </w:p>
        </w:tc>
        <w:tc>
          <w:tcPr>
            <w:tcW w:type="dxa" w:w="4675"/>
            <w:shd w:fill="D9E2F3" w:val="clear"/>
            <w:tcMar>
              <w:top w:type="dxa" w:w="100"/>
              <w:left w:type="dxa" w:w="120"/>
              <w:bottom w:type="dxa" w:w="100"/>
              <w:right w:type="dxa" w:w="120"/>
            </w:tcMar>
            <w:vAlign w:val="top"/>
          </w:tcPr>
          <w:p>
            <w:r>
              <w:rPr>
                <w:b/>
                <w:bCs/>
                <w:color w:val="1F3864"/>
                <w:sz w:val="26"/>
                <w:szCs w:val="26"/>
              </w:rPr>
              <w:t xml:space="preserve">16. Technical selection by volume, money flow and their antitheses</w:t>
            </w:r>
          </w:p>
        </w:tc>
      </w:tr>
      <w:tr>
        <w:tc>
          <w:tcPr>
            <w:tcW w:type="dxa" w:w="4675"/>
            <w:tcMar>
              <w:top w:type="dxa" w:w="100"/>
              <w:left w:type="dxa" w:w="120"/>
              <w:bottom w:type="dxa" w:w="100"/>
              <w:right w:type="dxa" w:w="120"/>
            </w:tcMar>
            <w:vAlign w:val="top"/>
          </w:tcPr>
          <w:p>
            <w:r>
              <w:rPr>
                <w:b w:val="false"/>
                <w:bCs w:val="false"/>
              </w:rPr>
              <w:t xml:space="preserve">• Cinco réplicas exactas de la sección anterior, en la misma página "Selección técnica", cambiando solo el criterio de puntuación (sección 5): volumen, flujo de dinero, precio bajo, volumen bajo y flujo de dinero bajo.</w:t>
            </w:r>
          </w:p>
        </w:tc>
        <w:tc>
          <w:tcPr>
            <w:tcW w:type="dxa" w:w="4675"/>
            <w:tcMar>
              <w:top w:type="dxa" w:w="100"/>
              <w:left w:type="dxa" w:w="120"/>
              <w:bottom w:type="dxa" w:w="100"/>
              <w:right w:type="dxa" w:w="120"/>
            </w:tcMar>
            <w:vAlign w:val="top"/>
          </w:tcPr>
          <w:p>
            <w:r>
              <w:rPr>
                <w:b w:val="false"/>
                <w:bCs w:val="false"/>
              </w:rPr>
              <w:t xml:space="preserve">• Five exact replicas of the previous section, on the same "Technical selection" page, changing only the scoring criterion (section 5): volume, money flow, low price, low volume and low money flow.</w:t>
            </w:r>
          </w:p>
        </w:tc>
      </w:tr>
      <w:tr>
        <w:tc>
          <w:tcPr>
            <w:tcW w:type="dxa" w:w="4675"/>
            <w:tcMar>
              <w:top w:type="dxa" w:w="100"/>
              <w:left w:type="dxa" w:w="120"/>
              <w:bottom w:type="dxa" w:w="100"/>
              <w:right w:type="dxa" w:w="120"/>
            </w:tcMar>
            <w:vAlign w:val="top"/>
          </w:tcPr>
          <w:p>
            <w:r>
              <w:rPr>
                <w:b w:val="false"/>
                <w:bCs w:val="false"/>
              </w:rPr>
              <w:t xml:space="preserve">• Las tres antítesis (precio bajo, volumen bajo, flujo bajo) aplican el mismo cálculo de puntuación que su contraparte directa, pero seleccionan los valores con MENOR puntuación en vez de mayor — el fondo de la tabla, no la cabeza.</w:t>
            </w:r>
          </w:p>
        </w:tc>
        <w:tc>
          <w:tcPr>
            <w:tcW w:type="dxa" w:w="4675"/>
            <w:tcMar>
              <w:top w:type="dxa" w:w="100"/>
              <w:left w:type="dxa" w:w="120"/>
              <w:bottom w:type="dxa" w:w="100"/>
              <w:right w:type="dxa" w:w="120"/>
            </w:tcMar>
            <w:vAlign w:val="top"/>
          </w:tcPr>
          <w:p>
            <w:r>
              <w:rPr>
                <w:b w:val="false"/>
                <w:bCs w:val="false"/>
              </w:rPr>
              <w:t xml:space="preserve">• The three antitheses (low price, low volume, low money flow) apply the same score calculation as their direct counterpart, but select the stocks with the LOWEST score instead of the highest — the bottom of the table, not the top.</w:t>
            </w:r>
          </w:p>
        </w:tc>
      </w:tr>
      <w:tr>
        <w:tc>
          <w:tcPr>
            <w:tcW w:type="dxa" w:w="4675"/>
            <w:tcMar>
              <w:top w:type="dxa" w:w="100"/>
              <w:left w:type="dxa" w:w="120"/>
              <w:bottom w:type="dxa" w:w="100"/>
              <w:right w:type="dxa" w:w="120"/>
            </w:tcMar>
            <w:vAlign w:val="top"/>
          </w:tcPr>
          <w:p>
            <w:r>
              <w:rPr>
                <w:b w:val="false"/>
                <w:bCs w:val="false"/>
              </w:rPr>
              <w:t xml:space="preserve">• Sirven de control adicional, igual que la selección aleatoria (sección 19): si un criterio directo no supera con claridad a su propia antítesis, tampoco está claro que esté aportando valor predictivo real.</w:t>
            </w:r>
          </w:p>
        </w:tc>
        <w:tc>
          <w:tcPr>
            <w:tcW w:type="dxa" w:w="4675"/>
            <w:tcMar>
              <w:top w:type="dxa" w:w="100"/>
              <w:left w:type="dxa" w:w="120"/>
              <w:bottom w:type="dxa" w:w="100"/>
              <w:right w:type="dxa" w:w="120"/>
            </w:tcMar>
            <w:vAlign w:val="top"/>
          </w:tcPr>
          <w:p>
            <w:r>
              <w:rPr>
                <w:b w:val="false"/>
                <w:bCs w:val="false"/>
              </w:rPr>
              <w:t xml:space="preserve">• They serve as an additional control, just like random selection (section 19): if a direct criterion doesn't clearly beat its own antithesis, it isn't clear that it's adding genuine predictive value either.</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17. Ejecutar cadena de selección automática</w:t>
            </w:r>
          </w:p>
        </w:tc>
        <w:tc>
          <w:tcPr>
            <w:tcW w:type="dxa" w:w="4675"/>
            <w:shd w:fill="D9E2F3" w:val="clear"/>
            <w:tcMar>
              <w:top w:type="dxa" w:w="100"/>
              <w:left w:type="dxa" w:w="120"/>
              <w:bottom w:type="dxa" w:w="100"/>
              <w:right w:type="dxa" w:w="120"/>
            </w:tcMar>
            <w:vAlign w:val="top"/>
          </w:tcPr>
          <w:p>
            <w:r>
              <w:rPr>
                <w:b/>
                <w:bCs/>
                <w:color w:val="1F3864"/>
                <w:sz w:val="26"/>
                <w:szCs w:val="26"/>
              </w:rPr>
              <w:t xml:space="preserve">17. Run automatic selection chain</w:t>
            </w:r>
          </w:p>
        </w:tc>
      </w:tr>
      <w:tr>
        <w:tc>
          <w:tcPr>
            <w:tcW w:type="dxa" w:w="4675"/>
            <w:tcMar>
              <w:top w:type="dxa" w:w="100"/>
              <w:left w:type="dxa" w:w="120"/>
              <w:bottom w:type="dxa" w:w="100"/>
              <w:right w:type="dxa" w:w="120"/>
            </w:tcMar>
            <w:vAlign w:val="top"/>
          </w:tcPr>
          <w:p>
            <w:r>
              <w:rPr>
                <w:b w:val="false"/>
                <w:bCs w:val="false"/>
              </w:rPr>
              <w:t xml:space="preserve">• Botón único, en la página "Parámetros técnicos", que encadena automáticamente las cuatro optimizaciones de la sección 13 — factor de penalización, número de componentes, tope de diversificación y frecuencia de rebalanceo, cada una usando ya el valor optimizado de la anterior — y, con esos parámetros, ejecuta la selección de cartera por precio (sección 15).</w:t>
            </w:r>
          </w:p>
        </w:tc>
        <w:tc>
          <w:tcPr>
            <w:tcW w:type="dxa" w:w="4675"/>
            <w:tcMar>
              <w:top w:type="dxa" w:w="100"/>
              <w:left w:type="dxa" w:w="120"/>
              <w:bottom w:type="dxa" w:w="100"/>
              <w:right w:type="dxa" w:w="120"/>
            </w:tcMar>
            <w:vAlign w:val="top"/>
          </w:tcPr>
          <w:p>
            <w:r>
              <w:rPr>
                <w:b w:val="false"/>
                <w:bCs w:val="false"/>
              </w:rPr>
              <w:t xml:space="preserve">• A single button, on the "Technical parameters" page, that automatically chains the four optimizations from section 13 — penalty factor, number of components, diversification cap and rebalancing frequency, each one already using the previous one's optimized value — and, with those parameters, runs the portfolio selection by price (section 15).</w:t>
            </w:r>
          </w:p>
        </w:tc>
      </w:tr>
      <w:tr>
        <w:tc>
          <w:tcPr>
            <w:tcW w:type="dxa" w:w="4675"/>
            <w:tcMar>
              <w:top w:type="dxa" w:w="100"/>
              <w:left w:type="dxa" w:w="120"/>
              <w:bottom w:type="dxa" w:w="100"/>
              <w:right w:type="dxa" w:w="120"/>
            </w:tcMar>
            <w:vAlign w:val="top"/>
          </w:tcPr>
          <w:p>
            <w:r>
              <w:rPr>
                <w:b w:val="false"/>
                <w:bCs w:val="false"/>
              </w:rPr>
              <w:t xml:space="preserve">• Muestra solo el resultado final: la cartera de hoy resultante y la comparación de la rentabilidad esperada del modelo frente al índice elegido, junto con los cuatro parámetros usados. Los pasos intermedios no se muestran aquí, pero se pueden ejecutar y ver uno a uno con los botones de las secciones 13-14 para seguir el proceso paso a paso.</w:t>
            </w:r>
          </w:p>
        </w:tc>
        <w:tc>
          <w:tcPr>
            <w:tcW w:type="dxa" w:w="4675"/>
            <w:tcMar>
              <w:top w:type="dxa" w:w="100"/>
              <w:left w:type="dxa" w:w="120"/>
              <w:bottom w:type="dxa" w:w="100"/>
              <w:right w:type="dxa" w:w="120"/>
            </w:tcMar>
            <w:vAlign w:val="top"/>
          </w:tcPr>
          <w:p>
            <w:r>
              <w:rPr>
                <w:b w:val="false"/>
                <w:bCs w:val="false"/>
              </w:rPr>
              <w:t xml:space="preserve">• Shows only the final result: the resulting portfolio for today and the comparison of the model's expected return against the chosen index, along with the four parameters used. Intermediate steps aren't shown here, but can be run and inspected one by one with the buttons from sections 13-14 to follow the process step by step.</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18. Selección por "veces seleccionado"</w:t>
            </w:r>
          </w:p>
        </w:tc>
        <w:tc>
          <w:tcPr>
            <w:tcW w:type="dxa" w:w="4675"/>
            <w:shd w:fill="D9E2F3" w:val="clear"/>
            <w:tcMar>
              <w:top w:type="dxa" w:w="100"/>
              <w:left w:type="dxa" w:w="120"/>
              <w:bottom w:type="dxa" w:w="100"/>
              <w:right w:type="dxa" w:w="120"/>
            </w:tcMar>
            <w:vAlign w:val="top"/>
          </w:tcPr>
          <w:p>
            <w:r>
              <w:rPr>
                <w:b/>
                <w:bCs/>
                <w:color w:val="1F3864"/>
                <w:sz w:val="26"/>
                <w:szCs w:val="26"/>
              </w:rPr>
              <w:t xml:space="preserve">18. Selection by "times selected"</w:t>
            </w:r>
          </w:p>
        </w:tc>
      </w:tr>
      <w:tr>
        <w:tc>
          <w:tcPr>
            <w:tcW w:type="dxa" w:w="4675"/>
            <w:tcMar>
              <w:top w:type="dxa" w:w="100"/>
              <w:left w:type="dxa" w:w="120"/>
              <w:bottom w:type="dxa" w:w="100"/>
              <w:right w:type="dxa" w:w="120"/>
            </w:tcMar>
            <w:vAlign w:val="top"/>
          </w:tcPr>
          <w:p>
            <w:r>
              <w:rPr>
                <w:b w:val="false"/>
                <w:bCs w:val="false"/>
              </w:rPr>
              <w:t xml:space="preserve">• Aviso de estado: esta sección describe código real y correcto (pages/seleccionVeces.js y pages/api/seleccionVeces.js), pero desde la reestructuración del menú en tres submenús de selección ya no tiene enlace en el menú de hamburguesa — no aparece en la navegación normal de la aplicación. Sigue siendo accesible tecleando la URL directamente (/seleccionVeces); se conserva por si se quiere recuperar más adelante.</w:t>
            </w:r>
          </w:p>
        </w:tc>
        <w:tc>
          <w:tcPr>
            <w:tcW w:type="dxa" w:w="4675"/>
            <w:tcMar>
              <w:top w:type="dxa" w:w="100"/>
              <w:left w:type="dxa" w:w="120"/>
              <w:bottom w:type="dxa" w:w="100"/>
              <w:right w:type="dxa" w:w="120"/>
            </w:tcMar>
            <w:vAlign w:val="top"/>
          </w:tcPr>
          <w:p>
            <w:r>
              <w:rPr>
                <w:b w:val="false"/>
                <w:bCs w:val="false"/>
              </w:rPr>
              <w:t xml:space="preserve">• Status note: this section describes real, working code (pages/seleccionVeces.js and pages/api/seleccionVeces.js), but since the selection menu was restructured into three submenus, it no longer has a link in the hamburger menu — it doesn't appear in the application's normal navigation. It remains reachable by typing the URL directly (/seleccionVeces); the code is kept in case it's brought back later.</w:t>
            </w:r>
          </w:p>
        </w:tc>
      </w:tr>
      <w:tr>
        <w:tc>
          <w:tcPr>
            <w:tcW w:type="dxa" w:w="4675"/>
            <w:tcMar>
              <w:top w:type="dxa" w:w="100"/>
              <w:left w:type="dxa" w:w="120"/>
              <w:bottom w:type="dxa" w:w="100"/>
              <w:right w:type="dxa" w:w="120"/>
            </w:tcMar>
            <w:vAlign w:val="top"/>
          </w:tcPr>
          <w:p>
            <w:r>
              <w:rPr>
                <w:b w:val="false"/>
                <w:bCs w:val="false"/>
              </w:rPr>
              <w:t xml:space="preserve">• Modo "análisis": dos backtests sucesivos y sin solape. El primero, sobre un número configurable de sesiones anteriores a la ventana principal (5, 10, 15, 20 o 30), cuenta cuántas veces ha estado cada componente en cartera; se eligen los que más veces han estado, y con esa cartera fija (frecuencia "nunca", sección 9) se recorre la ventana principal.</w:t>
            </w:r>
          </w:p>
        </w:tc>
        <w:tc>
          <w:tcPr>
            <w:tcW w:type="dxa" w:w="4675"/>
            <w:tcMar>
              <w:top w:type="dxa" w:w="100"/>
              <w:left w:type="dxa" w:w="120"/>
              <w:bottom w:type="dxa" w:w="100"/>
              <w:right w:type="dxa" w:w="120"/>
            </w:tcMar>
            <w:vAlign w:val="top"/>
          </w:tcPr>
          <w:p>
            <w:r>
              <w:rPr>
                <w:b w:val="false"/>
                <w:bCs w:val="false"/>
              </w:rPr>
              <w:t xml:space="preserve">• "Analysis" mode: two successive, non-overlapping backtests. The first, over a configurable number of sessions before the main window (5, 10, 15, 20 or 30), counts how many times each component has been in the portfolio; the most frequent ones are chosen, and with that fixed portfolio ("never" frequency, section 9) the main window is run through.</w:t>
            </w:r>
          </w:p>
        </w:tc>
      </w:tr>
      <w:tr>
        <w:tc>
          <w:tcPr>
            <w:tcW w:type="dxa" w:w="4675"/>
            <w:tcMar>
              <w:top w:type="dxa" w:w="100"/>
              <w:left w:type="dxa" w:w="120"/>
              <w:bottom w:type="dxa" w:w="100"/>
              <w:right w:type="dxa" w:w="120"/>
            </w:tcMar>
            <w:vAlign w:val="top"/>
          </w:tcPr>
          <w:p>
            <w:r>
              <w:rPr>
                <w:b w:val="false"/>
                <w:bCs w:val="false"/>
              </w:rPr>
              <w:t xml:space="preserve">• Modo "cartera real": un único cálculo con las sesiones más recientes disponibles, para componer una cartera para invertir hoy — sin backtest posterior, asumiendo a propósito el sesgo de anticipación porque aquí el objetivo es la cartera de hoy, no medir una estrategia (ver sección 3).</w:t>
            </w:r>
          </w:p>
        </w:tc>
        <w:tc>
          <w:tcPr>
            <w:tcW w:type="dxa" w:w="4675"/>
            <w:tcMar>
              <w:top w:type="dxa" w:w="100"/>
              <w:left w:type="dxa" w:w="120"/>
              <w:bottom w:type="dxa" w:w="100"/>
              <w:right w:type="dxa" w:w="120"/>
            </w:tcMar>
            <w:vAlign w:val="top"/>
          </w:tcPr>
          <w:p>
            <w:r>
              <w:rPr>
                <w:b w:val="false"/>
                <w:bCs w:val="false"/>
              </w:rPr>
              <w:t xml:space="preserve">• "Real portfolio" mode: a single calculation using the most recent sessions available, to put together a portfolio to actually invest in today — no later backtest, knowingly accepting look-ahead bias since the goal here is today's portfolio, not measuring a strategy (see section 3).</w:t>
            </w:r>
          </w:p>
        </w:tc>
      </w:tr>
      <w:tr>
        <w:tc>
          <w:tcPr>
            <w:tcW w:type="dxa" w:w="4675"/>
            <w:tcMar>
              <w:top w:type="dxa" w:w="100"/>
              <w:left w:type="dxa" w:w="120"/>
              <w:bottom w:type="dxa" w:w="100"/>
              <w:right w:type="dxa" w:w="120"/>
            </w:tcMar>
            <w:vAlign w:val="top"/>
          </w:tcPr>
          <w:p>
            <w:r>
              <w:rPr>
                <w:b w:val="false"/>
                <w:bCs w:val="false"/>
              </w:rPr>
              <w:t xml:space="preserve">• Disponible también con criterio de volumen, además del de precio.</w:t>
            </w:r>
          </w:p>
        </w:tc>
        <w:tc>
          <w:tcPr>
            <w:tcW w:type="dxa" w:w="4675"/>
            <w:tcMar>
              <w:top w:type="dxa" w:w="100"/>
              <w:left w:type="dxa" w:w="120"/>
              <w:bottom w:type="dxa" w:w="100"/>
              <w:right w:type="dxa" w:w="120"/>
            </w:tcMar>
            <w:vAlign w:val="top"/>
          </w:tcPr>
          <w:p>
            <w:r>
              <w:rPr>
                <w:b w:val="false"/>
                <w:bCs w:val="false"/>
              </w:rPr>
              <w:t xml:space="preserve">• Also available with the volume criterion, in addition to price.</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19. Selección alternativa: fundamental, analistas, multifactor y aleatoria</w:t>
            </w:r>
          </w:p>
        </w:tc>
        <w:tc>
          <w:tcPr>
            <w:tcW w:type="dxa" w:w="4675"/>
            <w:shd w:fill="D9E2F3" w:val="clear"/>
            <w:tcMar>
              <w:top w:type="dxa" w:w="100"/>
              <w:left w:type="dxa" w:w="120"/>
              <w:bottom w:type="dxa" w:w="100"/>
              <w:right w:type="dxa" w:w="120"/>
            </w:tcMar>
            <w:vAlign w:val="top"/>
          </w:tcPr>
          <w:p>
            <w:r>
              <w:rPr>
                <w:b/>
                <w:bCs/>
                <w:color w:val="1F3864"/>
                <w:sz w:val="26"/>
                <w:szCs w:val="26"/>
              </w:rPr>
              <w:t xml:space="preserve">19. Alternative selection: fundamental, analysts, multi-factor and random</w:t>
            </w:r>
          </w:p>
        </w:tc>
      </w:tr>
      <w:tr>
        <w:tc>
          <w:tcPr>
            <w:tcW w:type="dxa" w:w="4675"/>
            <w:tcMar>
              <w:top w:type="dxa" w:w="100"/>
              <w:left w:type="dxa" w:w="120"/>
              <w:bottom w:type="dxa" w:w="100"/>
              <w:right w:type="dxa" w:w="120"/>
            </w:tcMar>
            <w:vAlign w:val="top"/>
          </w:tcPr>
          <w:p>
            <w:r>
              <w:rPr>
                <w:b w:val="false"/>
                <w:bCs w:val="false"/>
              </w:rPr>
              <w:t xml:space="preserve">• Página "Selección alternativa", con cuatro formas de elegir cartera que no siguen el ranking técnico día a día de las secciones 15-16: se calculan una vez — con los datos de hoy, o con un criterio pseudoaleatorio — y se aplican, sin ningún rebalanceo, a toda la ventana de backtest.</w:t>
            </w:r>
          </w:p>
        </w:tc>
        <w:tc>
          <w:tcPr>
            <w:tcW w:type="dxa" w:w="4675"/>
            <w:tcMar>
              <w:top w:type="dxa" w:w="100"/>
              <w:left w:type="dxa" w:w="120"/>
              <w:bottom w:type="dxa" w:w="100"/>
              <w:right w:type="dxa" w:w="120"/>
            </w:tcMar>
            <w:vAlign w:val="top"/>
          </w:tcPr>
          <w:p>
            <w:r>
              <w:rPr>
                <w:b w:val="false"/>
                <w:bCs w:val="false"/>
              </w:rPr>
              <w:t xml:space="preserve">• "Alternative selection" page, with four ways to choose a portfolio that don't follow the day-by-day technical ranking of sections 15-16: they're calculated once — with today's data, or with a pseudo-random criterion — and applied, with no rebalancing at all, across the whole backtest window.</w:t>
            </w:r>
          </w:p>
        </w:tc>
      </w:tr>
      <w:tr>
        <w:tc>
          <w:tcPr>
            <w:tcW w:type="dxa" w:w="4675"/>
            <w:tcMar>
              <w:top w:type="dxa" w:w="100"/>
              <w:left w:type="dxa" w:w="120"/>
              <w:bottom w:type="dxa" w:w="100"/>
              <w:right w:type="dxa" w:w="120"/>
            </w:tcMar>
            <w:vAlign w:val="top"/>
          </w:tcPr>
          <w:p>
            <w:r>
              <w:rPr>
                <w:b w:val="false"/>
                <w:bCs w:val="false"/>
              </w:rPr>
              <w:t xml:space="preserve">• Selección por fundamental: para cada índice del catálogo (sección 4) a la vez, elige los componentes mejor clasificados HOY según el criterio fundamental elegido — PER, PER futuro y precio/valor contable, de menor a mayor; EPS, EPS futuro y rentabilidad por dividendo, de mayor a menor; EPS y EPS futuro se normalizan dividiendo por el precio actual —, y calcula qué número de componentes (3 a 6) y qué pesos habrían dado la mayor rentabilidad acumulada en la ventana de backtest de ese índice, respetando el tope de diversificación.</w:t>
            </w:r>
          </w:p>
        </w:tc>
        <w:tc>
          <w:tcPr>
            <w:tcW w:type="dxa" w:w="4675"/>
            <w:tcMar>
              <w:top w:type="dxa" w:w="100"/>
              <w:left w:type="dxa" w:w="120"/>
              <w:bottom w:type="dxa" w:w="100"/>
              <w:right w:type="dxa" w:w="120"/>
            </w:tcMar>
            <w:vAlign w:val="top"/>
          </w:tcPr>
          <w:p>
            <w:r>
              <w:rPr>
                <w:b w:val="false"/>
                <w:bCs w:val="false"/>
              </w:rPr>
              <w:t xml:space="preserve">• Fundamental selection: for every index in the catalog (section 4) at once, picks the best-ranked components TODAY according to the chosen fundamental criterion — P/E, forward P/E and price/book, lowest to highest; EPS, forward EPS and dividend yield, highest to lowest; EPS and forward EPS are normalized by dividing by the current price —, and works out which number of components (3 to 6) and which weights would have given that index's highest cumulative return over its backtest window, within the diversification cap.</w:t>
            </w:r>
          </w:p>
        </w:tc>
      </w:tr>
      <w:tr>
        <w:tc>
          <w:tcPr>
            <w:tcW w:type="dxa" w:w="4675"/>
            <w:tcMar>
              <w:top w:type="dxa" w:w="100"/>
              <w:left w:type="dxa" w:w="120"/>
              <w:bottom w:type="dxa" w:w="100"/>
              <w:right w:type="dxa" w:w="120"/>
            </w:tcMar>
            <w:vAlign w:val="top"/>
          </w:tcPr>
          <w:p>
            <w:r>
              <w:rPr>
                <w:b w:val="false"/>
                <w:bCs w:val="false"/>
              </w:rPr>
              <w:t xml:space="preserve">• Selección de los analistas: elige los componentes del índice elegido arriba mejor valorados HOY por el consenso de analistas de Yahoo Finance — de compra fuerte a venta fuerte, solo valores con al menos 3 analistas cubriéndolos —, y calcula, igual que en fundamental y sin rebalanceo, el número de componentes y los pesos que habrían dado la mayor rentabilidad acumulada.</w:t>
            </w:r>
          </w:p>
        </w:tc>
        <w:tc>
          <w:tcPr>
            <w:tcW w:type="dxa" w:w="4675"/>
            <w:tcMar>
              <w:top w:type="dxa" w:w="100"/>
              <w:left w:type="dxa" w:w="120"/>
              <w:bottom w:type="dxa" w:w="100"/>
              <w:right w:type="dxa" w:w="120"/>
            </w:tcMar>
            <w:vAlign w:val="top"/>
          </w:tcPr>
          <w:p>
            <w:r>
              <w:rPr>
                <w:b w:val="false"/>
                <w:bCs w:val="false"/>
              </w:rPr>
              <w:t xml:space="preserve">• Analyst selection: picks the components of the index chosen above best rated TODAY by Yahoo Finance's analyst consensus — from strong buy to strong sell, only stocks with at least 3 covering analysts —, and works out, just like fundamental selection and with no rebalancing, the number of components and weights that would have given the highest cumulative return.</w:t>
            </w:r>
          </w:p>
        </w:tc>
      </w:tr>
      <w:tr>
        <w:tc>
          <w:tcPr>
            <w:tcW w:type="dxa" w:w="4675"/>
            <w:tcMar>
              <w:top w:type="dxa" w:w="100"/>
              <w:left w:type="dxa" w:w="120"/>
              <w:bottom w:type="dxa" w:w="100"/>
              <w:right w:type="dxa" w:w="120"/>
            </w:tcMar>
            <w:vAlign w:val="top"/>
          </w:tcPr>
          <w:p>
            <w:r>
              <w:rPr>
                <w:b w:val="false"/>
                <w:bCs w:val="false"/>
              </w:rPr>
              <w:t xml:space="preserve">• Selección por modelo multifactor: ajusta, mediante una regresión ridge, el peso que mejor combina el momentum de precio, de volumen y de flujo de dinero, la dispersión — volatilidad — del precio, y los datos fundamentales de hoy — PER, EPS/precio, precio/valor contable, consenso de analistas — para predecir la rentabilidad futura de cada valor, y aplica esos pesos ya ajustados a los datos de HOY para elegir la cartera con mejor puntuación combinada. Se muestra el R² de validación, fuera de la muestra de entrenamiento, sin maquillar, incluso si sale bajo o negativo: esa cifra honesta es la que hay que mirar.</w:t>
            </w:r>
          </w:p>
        </w:tc>
        <w:tc>
          <w:tcPr>
            <w:tcW w:type="dxa" w:w="4675"/>
            <w:tcMar>
              <w:top w:type="dxa" w:w="100"/>
              <w:left w:type="dxa" w:w="120"/>
              <w:bottom w:type="dxa" w:w="100"/>
              <w:right w:type="dxa" w:w="120"/>
            </w:tcMar>
            <w:vAlign w:val="top"/>
          </w:tcPr>
          <w:p>
            <w:r>
              <w:rPr>
                <w:b w:val="false"/>
                <w:bCs w:val="false"/>
              </w:rPr>
              <w:t xml:space="preserve">• Multi-factor model selection: fits, using a ridge regression, the weight that best combines price, volume and money-flow momentum, price dispersion — volatility —, and today's fundamental data — P/E, EPS/price, price/book, analyst consensus — to predict each stock's future return, and applies those fitted weights to TODAY's data to pick the portfolio with the best combined score. The validation R², out of the training sample, is shown without dressing it up, even if it comes out low or negative: that honest number is the one to look at.</w:t>
            </w:r>
          </w:p>
        </w:tc>
      </w:tr>
      <w:tr>
        <w:tc>
          <w:tcPr>
            <w:tcW w:type="dxa" w:w="4675"/>
            <w:tcMar>
              <w:top w:type="dxa" w:w="100"/>
              <w:left w:type="dxa" w:w="120"/>
              <w:bottom w:type="dxa" w:w="100"/>
              <w:right w:type="dxa" w:w="120"/>
            </w:tcMar>
            <w:vAlign w:val="top"/>
          </w:tcPr>
          <w:p>
            <w:r>
              <w:rPr>
                <w:b w:val="false"/>
                <w:bCs w:val="false"/>
              </w:rPr>
              <w:t xml:space="preserve">• Selección aleatoria: los N componentes se eligen cada día al azar entre los del índice, a partir de una semilla fija, siempre con el mismo resultado si los datos no cambian. El resto de reglas de la selección técnica no cambia: protección, tope, reparto fijo, frecuencia de rebalanceo. Sirve como referencia: si ningún criterio técnico supera de forma clara a la selección aleatoria, el criterio de puntuación no está aportando valor real.</w:t>
            </w:r>
          </w:p>
        </w:tc>
        <w:tc>
          <w:tcPr>
            <w:tcW w:type="dxa" w:w="4675"/>
            <w:tcMar>
              <w:top w:type="dxa" w:w="100"/>
              <w:left w:type="dxa" w:w="120"/>
              <w:bottom w:type="dxa" w:w="100"/>
              <w:right w:type="dxa" w:w="120"/>
            </w:tcMar>
            <w:vAlign w:val="top"/>
          </w:tcPr>
          <w:p>
            <w:r>
              <w:rPr>
                <w:b w:val="false"/>
                <w:bCs w:val="false"/>
              </w:rPr>
              <w:t xml:space="preserve">• Random selection: the N components are picked at random from the index's stocks each day, from a fixed seed, always giving the same result if the data doesn't change. The rest of the technical selection's rules don't change: protection, cap, fixed distribution, rebalancing frequency. It's meant as a baseline: if no technical criterion clearly beats random selection, the scoring criterion isn't adding real value.</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20. Análisis de correlación con el índice</w:t>
            </w:r>
          </w:p>
        </w:tc>
        <w:tc>
          <w:tcPr>
            <w:tcW w:type="dxa" w:w="4675"/>
            <w:shd w:fill="D9E2F3" w:val="clear"/>
            <w:tcMar>
              <w:top w:type="dxa" w:w="100"/>
              <w:left w:type="dxa" w:w="120"/>
              <w:bottom w:type="dxa" w:w="100"/>
              <w:right w:type="dxa" w:w="120"/>
            </w:tcMar>
            <w:vAlign w:val="top"/>
          </w:tcPr>
          <w:p>
            <w:r>
              <w:rPr>
                <w:b/>
                <w:bCs/>
                <w:color w:val="1F3864"/>
                <w:sz w:val="26"/>
                <w:szCs w:val="26"/>
              </w:rPr>
              <w:t xml:space="preserve">20. Correlation analysis vs. the index</w:t>
            </w:r>
          </w:p>
        </w:tc>
      </w:tr>
      <w:tr>
        <w:tc>
          <w:tcPr>
            <w:tcW w:type="dxa" w:w="4675"/>
            <w:tcMar>
              <w:top w:type="dxa" w:w="100"/>
              <w:left w:type="dxa" w:w="120"/>
              <w:bottom w:type="dxa" w:w="100"/>
              <w:right w:type="dxa" w:w="120"/>
            </w:tcMar>
            <w:vAlign w:val="top"/>
          </w:tcPr>
          <w:p>
            <w:r>
              <w:rPr>
                <w:b w:val="false"/>
                <w:bCs w:val="false"/>
              </w:rPr>
              <w:t xml:space="preserve">• Tabla método × duración de backtest, con los 7 métodos técnicos (precio, volumen, flujo de dinero, sus tres antítesis y aleatorio) y 5 duraciones (20, 30, 50, 80 y 120 sesiones), con 6 ventanas históricas sin solape por celda y, para "aleatorio", 10 semillas distintas por ventana — para tener una distribución de control, no un único punto.</w:t>
            </w:r>
          </w:p>
        </w:tc>
        <w:tc>
          <w:tcPr>
            <w:tcW w:type="dxa" w:w="4675"/>
            <w:tcMar>
              <w:top w:type="dxa" w:w="100"/>
              <w:left w:type="dxa" w:w="120"/>
              <w:bottom w:type="dxa" w:w="100"/>
              <w:right w:type="dxa" w:w="120"/>
            </w:tcMar>
            <w:vAlign w:val="top"/>
          </w:tcPr>
          <w:p>
            <w:r>
              <w:rPr>
                <w:b w:val="false"/>
                <w:bCs w:val="false"/>
              </w:rPr>
              <w:t xml:space="preserve">• Method × backtest-duration table, with all 7 technical methods (price, volume, money flow, their three antitheses, and random) and 5 durations (20, 30, 50, 80 and 120 sessions), with 6 non-overlapping historical windows per cell and, for "random", 10 different seeds per window — to get a control distribution, not a single point.</w:t>
            </w:r>
          </w:p>
        </w:tc>
      </w:tr>
      <w:tr>
        <w:tc>
          <w:tcPr>
            <w:tcW w:type="dxa" w:w="4675"/>
            <w:tcMar>
              <w:top w:type="dxa" w:w="100"/>
              <w:left w:type="dxa" w:w="120"/>
              <w:bottom w:type="dxa" w:w="100"/>
              <w:right w:type="dxa" w:w="120"/>
            </w:tcMar>
            <w:vAlign w:val="top"/>
          </w:tcPr>
          <w:p>
            <w:r>
              <w:rPr>
                <w:b w:val="false"/>
                <w:bCs w:val="false"/>
              </w:rPr>
              <w:t xml:space="preserve">• Columnas: correlación media, transformación de Fisher, y rango, rentabilidad media de la cartera y rango, rentabilidad media del propio índice.</w:t>
            </w:r>
          </w:p>
        </w:tc>
        <w:tc>
          <w:tcPr>
            <w:tcW w:type="dxa" w:w="4675"/>
            <w:tcMar>
              <w:top w:type="dxa" w:w="100"/>
              <w:left w:type="dxa" w:w="120"/>
              <w:bottom w:type="dxa" w:w="100"/>
              <w:right w:type="dxa" w:w="120"/>
            </w:tcMar>
            <w:vAlign w:val="top"/>
          </w:tcPr>
          <w:p>
            <w:r>
              <w:rPr>
                <w:b w:val="false"/>
                <w:bCs w:val="false"/>
              </w:rPr>
              <w:t xml:space="preserve">• Columns: average correlation, Fisher transform, and range, average portfolio return and range, average return of the index itself.</w:t>
            </w:r>
          </w:p>
        </w:tc>
      </w:tr>
      <w:tr>
        <w:tc>
          <w:tcPr>
            <w:tcW w:type="dxa" w:w="4675"/>
            <w:tcMar>
              <w:top w:type="dxa" w:w="100"/>
              <w:left w:type="dxa" w:w="120"/>
              <w:bottom w:type="dxa" w:w="100"/>
              <w:right w:type="dxa" w:w="120"/>
            </w:tcMar>
            <w:vAlign w:val="top"/>
          </w:tcPr>
          <w:p>
            <w:r>
              <w:rPr>
                <w:b w:val="false"/>
                <w:bCs w:val="false"/>
              </w:rPr>
              <w:t xml:space="preserve">• La aplicación genera automáticamente una conclusión en texto, comparando cada criterio frente a la distribución de la selección aleatoria, puntuación z por duración, y la diferencia de correlación media entre métodos.</w:t>
            </w:r>
          </w:p>
        </w:tc>
        <w:tc>
          <w:tcPr>
            <w:tcW w:type="dxa" w:w="4675"/>
            <w:tcMar>
              <w:top w:type="dxa" w:w="100"/>
              <w:left w:type="dxa" w:w="120"/>
              <w:bottom w:type="dxa" w:w="100"/>
              <w:right w:type="dxa" w:w="120"/>
            </w:tcMar>
            <w:vAlign w:val="top"/>
          </w:tcPr>
          <w:p>
            <w:r>
              <w:rPr>
                <w:b w:val="false"/>
                <w:bCs w:val="false"/>
              </w:rPr>
              <w:t xml:space="preserve">• The application automatically generates a text conclusion, comparing each criterion against the random-selection distribution, z-score per duration, and the average correlation difference between methods.</w:t>
            </w:r>
          </w:p>
        </w:tc>
      </w:tr>
      <w:tr>
        <w:tc>
          <w:tcPr>
            <w:tcW w:type="dxa" w:w="4675"/>
            <w:tcMar>
              <w:top w:type="dxa" w:w="100"/>
              <w:left w:type="dxa" w:w="120"/>
              <w:bottom w:type="dxa" w:w="100"/>
              <w:right w:type="dxa" w:w="120"/>
            </w:tcMar>
            <w:vAlign w:val="top"/>
          </w:tcPr>
          <w:p>
            <w:r>
              <w:rPr>
                <w:b w:val="false"/>
                <w:bCs w:val="false"/>
              </w:rPr>
              <w:t xml:space="preserve">• Todo el histórico necesario se descarga una sola vez; los cálculos con las distintas ventanas y semillas se hacen en memoria, sin volver a llamar a Yahoo Finance por cada celda.</w:t>
            </w:r>
          </w:p>
        </w:tc>
        <w:tc>
          <w:tcPr>
            <w:tcW w:type="dxa" w:w="4675"/>
            <w:tcMar>
              <w:top w:type="dxa" w:w="100"/>
              <w:left w:type="dxa" w:w="120"/>
              <w:bottom w:type="dxa" w:w="100"/>
              <w:right w:type="dxa" w:w="120"/>
            </w:tcMar>
            <w:vAlign w:val="top"/>
          </w:tcPr>
          <w:p>
            <w:r>
              <w:rPr>
                <w:b w:val="false"/>
                <w:bCs w:val="false"/>
              </w:rPr>
              <w:t xml:space="preserve">• All the needed history is downloaded once; the calculations across the different windows and seeds are done in memory, without calling Yahoo Finance again for each cell.</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21. Correlación con las recomendaciones de los analistas</w:t>
            </w:r>
          </w:p>
        </w:tc>
        <w:tc>
          <w:tcPr>
            <w:tcW w:type="dxa" w:w="4675"/>
            <w:shd w:fill="D9E2F3" w:val="clear"/>
            <w:tcMar>
              <w:top w:type="dxa" w:w="100"/>
              <w:left w:type="dxa" w:w="120"/>
              <w:bottom w:type="dxa" w:w="100"/>
              <w:right w:type="dxa" w:w="120"/>
            </w:tcMar>
            <w:vAlign w:val="top"/>
          </w:tcPr>
          <w:p>
            <w:r>
              <w:rPr>
                <w:b/>
                <w:bCs/>
                <w:color w:val="1F3864"/>
                <w:sz w:val="26"/>
                <w:szCs w:val="26"/>
              </w:rPr>
              <w:t xml:space="preserve">21. Correlation with analyst recommendations</w:t>
            </w:r>
          </w:p>
        </w:tc>
      </w:tr>
      <w:tr>
        <w:tc>
          <w:tcPr>
            <w:tcW w:type="dxa" w:w="4675"/>
            <w:tcMar>
              <w:top w:type="dxa" w:w="100"/>
              <w:left w:type="dxa" w:w="120"/>
              <w:bottom w:type="dxa" w:w="100"/>
              <w:right w:type="dxa" w:w="120"/>
            </w:tcMar>
            <w:vAlign w:val="top"/>
          </w:tcPr>
          <w:p>
            <w:r>
              <w:rPr>
                <w:b w:val="false"/>
                <w:bCs w:val="false"/>
              </w:rPr>
              <w:t xml:space="preserve">• Para un índice: comprueba si el consenso de analistas de HOY guarda relación con la rentabilidad real que ha tenido después cada componente, en 1, 2, 3 y 6 meses — no tiene sentido mirar más atrás: las recomendaciones cambian con relativa frecuencia. El consenso de Yahoo — 1 = compra fuerte, 5 = venta fuerte — se invierte a "5 menos ese valor", para que una correlación positiva signifique lo esperado: mejor consenso, mejor comportamiento posterior.</w:t>
            </w:r>
          </w:p>
        </w:tc>
        <w:tc>
          <w:tcPr>
            <w:tcW w:type="dxa" w:w="4675"/>
            <w:tcMar>
              <w:top w:type="dxa" w:w="100"/>
              <w:left w:type="dxa" w:w="120"/>
              <w:bottom w:type="dxa" w:w="100"/>
              <w:right w:type="dxa" w:w="120"/>
            </w:tcMar>
            <w:vAlign w:val="top"/>
          </w:tcPr>
          <w:p>
            <w:r>
              <w:rPr>
                <w:b w:val="false"/>
                <w:bCs w:val="false"/>
              </w:rPr>
              <w:t xml:space="preserve">• For a single index: checks whether TODAY's analyst consensus is related to the actual return each component had afterwards, over 1, 2, 3 and 6 months — looking back further makes no sense: recommendations change fairly often. Yahoo's consensus — 1 = strong buy, 5 = strong sell — is inverted to "5 minus that value", so a positive correlation means what's expected: better consensus, better subsequent performance.</w:t>
            </w:r>
          </w:p>
        </w:tc>
      </w:tr>
      <w:tr>
        <w:tc>
          <w:tcPr>
            <w:tcW w:type="dxa" w:w="4675"/>
            <w:tcMar>
              <w:top w:type="dxa" w:w="100"/>
              <w:left w:type="dxa" w:w="120"/>
              <w:bottom w:type="dxa" w:w="100"/>
              <w:right w:type="dxa" w:w="120"/>
            </w:tcMar>
            <w:vAlign w:val="top"/>
          </w:tcPr>
          <w:p>
            <w:r>
              <w:rPr>
                <w:b w:val="false"/>
                <w:bCs w:val="false"/>
              </w:rPr>
              <w:t xml:space="preserve">• Para varios índices a la vez: la misma correlación (1, 2, 3 y 6 meses), una fila por cada índice marcado, para comparar si el efecto del consenso de analistas es más fuerte en unos índices que en otros.</w:t>
            </w:r>
          </w:p>
        </w:tc>
        <w:tc>
          <w:tcPr>
            <w:tcW w:type="dxa" w:w="4675"/>
            <w:tcMar>
              <w:top w:type="dxa" w:w="100"/>
              <w:left w:type="dxa" w:w="120"/>
              <w:bottom w:type="dxa" w:w="100"/>
              <w:right w:type="dxa" w:w="120"/>
            </w:tcMar>
            <w:vAlign w:val="top"/>
          </w:tcPr>
          <w:p>
            <w:r>
              <w:rPr>
                <w:b w:val="false"/>
                <w:bCs w:val="false"/>
              </w:rPr>
              <w:t xml:space="preserve">• For several indices at once: the same correlation (1, 2, 3 and 6 months), one row per index checked, to compare whether the analyst-consensus effect is stronger in some indices than in others.</w:t>
            </w:r>
          </w:p>
        </w:tc>
      </w:tr>
      <w:tr>
        <w:tc>
          <w:tcPr>
            <w:tcW w:type="dxa" w:w="4675"/>
            <w:tcMar>
              <w:top w:type="dxa" w:w="100"/>
              <w:left w:type="dxa" w:w="120"/>
              <w:bottom w:type="dxa" w:w="100"/>
              <w:right w:type="dxa" w:w="120"/>
            </w:tcMar>
            <w:vAlign w:val="top"/>
          </w:tcPr>
          <w:p>
            <w:r>
              <w:rPr>
                <w:b w:val="false"/>
                <w:bCs w:val="false"/>
              </w:rPr>
              <w:t xml:space="preserve">• El consenso de analistas solo se puede consultar valor por valor — no hay una consulta rápida para todo el índice a la vez —, así que cuantos más índices se marquen — y cuantos más componentes tengan — más tardará la comprobación.</w:t>
            </w:r>
          </w:p>
        </w:tc>
        <w:tc>
          <w:tcPr>
            <w:tcW w:type="dxa" w:w="4675"/>
            <w:tcMar>
              <w:top w:type="dxa" w:w="100"/>
              <w:left w:type="dxa" w:w="120"/>
              <w:bottom w:type="dxa" w:w="100"/>
              <w:right w:type="dxa" w:w="120"/>
            </w:tcMar>
            <w:vAlign w:val="top"/>
          </w:tcPr>
          <w:p>
            <w:r>
              <w:rPr>
                <w:b w:val="false"/>
                <w:bCs w:val="false"/>
              </w:rPr>
              <w:t xml:space="preserve">• Analyst consensus can only be checked one stock at a time — there's no fast whole-index query —, so the more indices are checked — and the more components they have — the longer the check will take.</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22. Rentabilidad de los ETFs</w:t>
            </w:r>
          </w:p>
        </w:tc>
        <w:tc>
          <w:tcPr>
            <w:tcW w:type="dxa" w:w="4675"/>
            <w:shd w:fill="D9E2F3" w:val="clear"/>
            <w:tcMar>
              <w:top w:type="dxa" w:w="100"/>
              <w:left w:type="dxa" w:w="120"/>
              <w:bottom w:type="dxa" w:w="100"/>
              <w:right w:type="dxa" w:w="120"/>
            </w:tcMar>
            <w:vAlign w:val="top"/>
          </w:tcPr>
          <w:p>
            <w:r>
              <w:rPr>
                <w:b/>
                <w:bCs/>
                <w:color w:val="1F3864"/>
                <w:sz w:val="26"/>
                <w:szCs w:val="26"/>
              </w:rPr>
              <w:t xml:space="preserve">22. ETF returns</w:t>
            </w:r>
          </w:p>
        </w:tc>
      </w:tr>
      <w:tr>
        <w:tc>
          <w:tcPr>
            <w:tcW w:type="dxa" w:w="4675"/>
            <w:tcMar>
              <w:top w:type="dxa" w:w="100"/>
              <w:left w:type="dxa" w:w="120"/>
              <w:bottom w:type="dxa" w:w="100"/>
              <w:right w:type="dxa" w:w="120"/>
            </w:tcMar>
            <w:vAlign w:val="top"/>
          </w:tcPr>
          <w:p>
            <w:r>
              <w:rPr>
                <w:b w:val="false"/>
                <w:bCs w:val="false"/>
              </w:rPr>
              <w:t xml:space="preserve">• Compara la rentabilidad del índice elegido con la de sus ETFs UCITS comparables — de distribución para todos los índices salvo el DAX, que por ser de rentabilidad total necesita justo lo contrario, uno de acumulación (ver sección 4). Se muestran también los ETFs UCITS del tipo opuesto, no comparables por el mismo motivo, pero incluidos para poder consultarlos igualmente.</w:t>
            </w:r>
          </w:p>
        </w:tc>
        <w:tc>
          <w:tcPr>
            <w:tcW w:type="dxa" w:w="4675"/>
            <w:tcMar>
              <w:top w:type="dxa" w:w="100"/>
              <w:left w:type="dxa" w:w="120"/>
              <w:bottom w:type="dxa" w:w="100"/>
              <w:right w:type="dxa" w:w="120"/>
            </w:tcMar>
            <w:vAlign w:val="top"/>
          </w:tcPr>
          <w:p>
            <w:r>
              <w:rPr>
                <w:b w:val="false"/>
                <w:bCs w:val="false"/>
              </w:rPr>
              <w:t xml:space="preserve">• Compares the chosen index's return with that of its comparable UCITS ETFs — distributing for every index except the DAX, which, being a total-return index, needs the opposite, an accumulating one (see section 4). The opposite-type UCITS ETFs are also shown, not comparable for the same reason, but included so they can still be checked.</w:t>
            </w:r>
          </w:p>
        </w:tc>
      </w:tr>
      <w:tr>
        <w:tc>
          <w:tcPr>
            <w:tcW w:type="dxa" w:w="4675"/>
            <w:tcMar>
              <w:top w:type="dxa" w:w="100"/>
              <w:left w:type="dxa" w:w="120"/>
              <w:bottom w:type="dxa" w:w="100"/>
              <w:right w:type="dxa" w:w="120"/>
            </w:tcMar>
            <w:vAlign w:val="top"/>
          </w:tcPr>
          <w:p>
            <w:r>
              <w:rPr>
                <w:b w:val="false"/>
                <w:bCs w:val="false"/>
              </w:rPr>
              <w:t xml:space="preserve">• Periodos comparados: 60 y 120 sesiones, y 1, 2 y 3 años. En verde, los periodos en los que el ETF supera al índice; en rojo, los que quedan por debajo.</w:t>
            </w:r>
          </w:p>
        </w:tc>
        <w:tc>
          <w:tcPr>
            <w:tcW w:type="dxa" w:w="4675"/>
            <w:tcMar>
              <w:top w:type="dxa" w:w="100"/>
              <w:left w:type="dxa" w:w="120"/>
              <w:bottom w:type="dxa" w:w="100"/>
              <w:right w:type="dxa" w:w="120"/>
            </w:tcMar>
            <w:vAlign w:val="top"/>
          </w:tcPr>
          <w:p>
            <w:r>
              <w:rPr>
                <w:b w:val="false"/>
                <w:bCs w:val="false"/>
              </w:rPr>
              <w:t xml:space="preserve">• Periods compared: 60 and 120 sessions, and 1, 2 and 3 years. Green marks periods where the ETF beats the index; red marks periods where it falls short.</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23. Comprobaciones y herramientas de auditoría</w:t>
            </w:r>
          </w:p>
        </w:tc>
        <w:tc>
          <w:tcPr>
            <w:tcW w:type="dxa" w:w="4675"/>
            <w:shd w:fill="D9E2F3" w:val="clear"/>
            <w:tcMar>
              <w:top w:type="dxa" w:w="100"/>
              <w:left w:type="dxa" w:w="120"/>
              <w:bottom w:type="dxa" w:w="100"/>
              <w:right w:type="dxa" w:w="120"/>
            </w:tcMar>
            <w:vAlign w:val="top"/>
          </w:tcPr>
          <w:p>
            <w:r>
              <w:rPr>
                <w:b/>
                <w:bCs/>
                <w:color w:val="1F3864"/>
                <w:sz w:val="26"/>
                <w:szCs w:val="26"/>
              </w:rPr>
              <w:t xml:space="preserve">23. Checks and audit tools</w:t>
            </w:r>
          </w:p>
        </w:tc>
      </w:tr>
      <w:tr>
        <w:tc>
          <w:tcPr>
            <w:tcW w:type="dxa" w:w="4675"/>
            <w:tcMar>
              <w:top w:type="dxa" w:w="100"/>
              <w:left w:type="dxa" w:w="120"/>
              <w:bottom w:type="dxa" w:w="100"/>
              <w:right w:type="dxa" w:w="120"/>
            </w:tcMar>
            <w:vAlign w:val="top"/>
          </w:tcPr>
          <w:p>
            <w:r>
              <w:rPr>
                <w:b w:val="false"/>
                <w:bCs w:val="false"/>
              </w:rPr>
              <w:t xml:space="preserve">• Comprobación de un valor: elige un ticker y calcula su variación porcentual entre sus últimos cierres diarios (la funcionalidad original del proyecto, sección "Paso 1").</w:t>
            </w:r>
          </w:p>
        </w:tc>
        <w:tc>
          <w:tcPr>
            <w:tcW w:type="dxa" w:w="4675"/>
            <w:tcMar>
              <w:top w:type="dxa" w:w="100"/>
              <w:left w:type="dxa" w:w="120"/>
              <w:bottom w:type="dxa" w:w="100"/>
              <w:right w:type="dxa" w:w="120"/>
            </w:tcMar>
            <w:vAlign w:val="top"/>
          </w:tcPr>
          <w:p>
            <w:r>
              <w:rPr>
                <w:b w:val="false"/>
                <w:bCs w:val="false"/>
              </w:rPr>
              <w:t xml:space="preserve">• Check a single stock: pick a ticker and calculate its percentage change across its last daily closes (the project's original "Step 1" feature).</w:t>
            </w:r>
          </w:p>
        </w:tc>
      </w:tr>
      <w:tr>
        <w:tc>
          <w:tcPr>
            <w:tcW w:type="dxa" w:w="4675"/>
            <w:tcMar>
              <w:top w:type="dxa" w:w="100"/>
              <w:left w:type="dxa" w:w="120"/>
              <w:bottom w:type="dxa" w:w="100"/>
              <w:right w:type="dxa" w:w="120"/>
            </w:tcMar>
            <w:vAlign w:val="top"/>
          </w:tcPr>
          <w:p>
            <w:r>
              <w:rPr>
                <w:b w:val="false"/>
                <w:bCs w:val="false"/>
              </w:rPr>
              <w:t xml:space="preserve">• Puntuaciones de una sesión concreta: dado un número de sesión dentro de la ventana descargada, muestra la puntuación (sección 5) de todos los componentes en esa fecha exacta, sin aplicar ninguna regla de cartera ni rebalanceo — para poder auditarla a mano. Solo aplica a precio, volumen y flujo de dinero, y a sus antítesis; no aplica a aleatorio, fundamental ni analistas, que no tienen puntuación por sesión.</w:t>
            </w:r>
          </w:p>
        </w:tc>
        <w:tc>
          <w:tcPr>
            <w:tcW w:type="dxa" w:w="4675"/>
            <w:tcMar>
              <w:top w:type="dxa" w:w="100"/>
              <w:left w:type="dxa" w:w="120"/>
              <w:bottom w:type="dxa" w:w="100"/>
              <w:right w:type="dxa" w:w="120"/>
            </w:tcMar>
            <w:vAlign w:val="top"/>
          </w:tcPr>
          <w:p>
            <w:r>
              <w:rPr>
                <w:b w:val="false"/>
                <w:bCs w:val="false"/>
              </w:rPr>
              <w:t xml:space="preserve">• Scores for a specific session: given a session number within the downloaded window, shows the score (section 5) of every component on that exact date, without applying any portfolio or rebalancing rule — so it can be audited by hand. Only applies to price, volume and money flow, and their antitheses; doesn't apply to random, fundamental or analyst selection, which have no per-session score.</w:t>
            </w:r>
          </w:p>
        </w:tc>
      </w:tr>
      <w:tr>
        <w:tc>
          <w:tcPr>
            <w:tcW w:type="dxa" w:w="4675"/>
            <w:tcMar>
              <w:top w:type="dxa" w:w="100"/>
              <w:left w:type="dxa" w:w="120"/>
              <w:bottom w:type="dxa" w:w="100"/>
              <w:right w:type="dxa" w:w="120"/>
            </w:tcMar>
            <w:vAlign w:val="top"/>
          </w:tcPr>
          <w:p>
            <w:r>
              <w:rPr>
                <w:b w:val="false"/>
                <w:bCs w:val="false"/>
              </w:rPr>
              <w:t xml:space="preserve">• Variación de índices: descarga el histórico de cierres de los propios índices (no de sus componentes) y muestra las últimas sesiones de cada uno, con fecha, cierre e incremento diario, para comprobar a mano que los datos coinciden con lo que usa el resto de la aplicación.</w:t>
            </w:r>
          </w:p>
        </w:tc>
        <w:tc>
          <w:tcPr>
            <w:tcW w:type="dxa" w:w="4675"/>
            <w:tcMar>
              <w:top w:type="dxa" w:w="100"/>
              <w:left w:type="dxa" w:w="120"/>
              <w:bottom w:type="dxa" w:w="100"/>
              <w:right w:type="dxa" w:w="120"/>
            </w:tcMar>
            <w:vAlign w:val="top"/>
          </w:tcPr>
          <w:p>
            <w:r>
              <w:rPr>
                <w:b w:val="false"/>
                <w:bCs w:val="false"/>
              </w:rPr>
              <w:t xml:space="preserve">• Index changes: downloads the historical closes of the indices themselves (not their components) and shows each index's most recent sessions, with date, close and daily change, to check by hand that the data matches what the rest of the application uses.</w:t>
            </w:r>
          </w:p>
        </w:tc>
      </w:tr>
      <w:tr>
        <w:tc>
          <w:tcPr>
            <w:tcW w:type="dxa" w:w="4675"/>
            <w:tcMar>
              <w:top w:type="dxa" w:w="100"/>
              <w:left w:type="dxa" w:w="120"/>
              <w:bottom w:type="dxa" w:w="100"/>
              <w:right w:type="dxa" w:w="120"/>
            </w:tcMar>
            <w:vAlign w:val="top"/>
          </w:tcPr>
          <w:p>
            <w:r>
              <w:rPr>
                <w:b w:val="false"/>
                <w:bCs w:val="false"/>
              </w:rPr>
              <w:t xml:space="preserve">• Comprobación de componentes vía ETF: consulta el top 10 de holdings del ETF de referencia de cada índice (sección 4) y lo compara con la lista de componentes que usa la aplicación, para detectar a simple vista si algún valor con mucho peso se ha quedado desactualizado — Yahoo solo expone el top 10 de un ETF, nunca la lista completa.</w:t>
            </w:r>
          </w:p>
        </w:tc>
        <w:tc>
          <w:tcPr>
            <w:tcW w:type="dxa" w:w="4675"/>
            <w:tcMar>
              <w:top w:type="dxa" w:w="100"/>
              <w:left w:type="dxa" w:w="120"/>
              <w:bottom w:type="dxa" w:w="100"/>
              <w:right w:type="dxa" w:w="120"/>
            </w:tcMar>
            <w:vAlign w:val="top"/>
          </w:tcPr>
          <w:p>
            <w:r>
              <w:rPr>
                <w:b w:val="false"/>
                <w:bCs w:val="false"/>
              </w:rPr>
              <w:t xml:space="preserve">• Component check via ETF: looks up the top 10 holdings of each index's reference ETF (section 4) and compares it with the component list the application uses, to spot at a glance whether a heavily-weighted stock is out of date — Yahoo only exposes an ETF's top 10, never the full list.</w:t>
            </w:r>
          </w:p>
        </w:tc>
      </w:tr>
      <w:tr>
        <w:tc>
          <w:tcPr>
            <w:tcW w:type="dxa" w:w="4675"/>
            <w:tcMar>
              <w:top w:type="dxa" w:w="100"/>
              <w:left w:type="dxa" w:w="120"/>
              <w:bottom w:type="dxa" w:w="100"/>
              <w:right w:type="dxa" w:w="120"/>
            </w:tcMar>
            <w:vAlign w:val="top"/>
          </w:tcPr>
          <w:p>
            <w:r>
              <w:rPr>
                <w:b w:val="false"/>
                <w:bCs w:val="false"/>
              </w:rPr>
              <w:t xml:space="preserve">• Datos fundamentales: consulta en una sola llamada los datos fundamentales de todos los componentes del índice elegido.</w:t>
            </w:r>
          </w:p>
        </w:tc>
        <w:tc>
          <w:tcPr>
            <w:tcW w:type="dxa" w:w="4675"/>
            <w:tcMar>
              <w:top w:type="dxa" w:w="100"/>
              <w:left w:type="dxa" w:w="120"/>
              <w:bottom w:type="dxa" w:w="100"/>
              <w:right w:type="dxa" w:w="120"/>
            </w:tcMar>
            <w:vAlign w:val="top"/>
          </w:tcPr>
          <w:p>
            <w:r>
              <w:rPr>
                <w:b w:val="false"/>
                <w:bCs w:val="false"/>
              </w:rPr>
              <w:t xml:space="preserve">• Fundamental data: looks up, in a single call, the fundamental data of every component of the chosen index.</w:t>
            </w:r>
          </w:p>
        </w:tc>
      </w:tr>
      <w:tr>
        <w:tc>
          <w:tcPr>
            <w:tcW w:type="dxa" w:w="4675"/>
            <w:tcMar>
              <w:top w:type="dxa" w:w="100"/>
              <w:left w:type="dxa" w:w="120"/>
              <w:bottom w:type="dxa" w:w="100"/>
              <w:right w:type="dxa" w:w="120"/>
            </w:tcMar>
            <w:vAlign w:val="top"/>
          </w:tcPr>
          <w:p>
            <w:r>
              <w:rPr>
                <w:b w:val="false"/>
                <w:bCs w:val="false"/>
              </w:rPr>
              <w:t xml:space="preserve">• Recomendaciones de los analistas: consulta valor por valor el consenso de analistas y el número de analistas que cubren cada componente, incluidos los que no tengan datos válidos, para poder auditar a mano la clasificación que usa "Selección de los analistas" (sección 19).</w:t>
            </w:r>
          </w:p>
        </w:tc>
        <w:tc>
          <w:tcPr>
            <w:tcW w:type="dxa" w:w="4675"/>
            <w:tcMar>
              <w:top w:type="dxa" w:w="100"/>
              <w:left w:type="dxa" w:w="120"/>
              <w:bottom w:type="dxa" w:w="100"/>
              <w:right w:type="dxa" w:w="120"/>
            </w:tcMar>
            <w:vAlign w:val="top"/>
          </w:tcPr>
          <w:p>
            <w:r>
              <w:rPr>
                <w:b w:val="false"/>
                <w:bCs w:val="false"/>
              </w:rPr>
              <w:t xml:space="preserve">• Analyst recommendations: looks up, one stock at a time, the analyst consensus and the number of analysts covering each component, including those with no valid data, so the ranking used by "Analyst selection" (section 19) can be audited by hand.</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24. Exportación y envío de resultados en PDF</w:t>
            </w:r>
          </w:p>
        </w:tc>
        <w:tc>
          <w:tcPr>
            <w:tcW w:type="dxa" w:w="4675"/>
            <w:shd w:fill="D9E2F3" w:val="clear"/>
            <w:tcMar>
              <w:top w:type="dxa" w:w="100"/>
              <w:left w:type="dxa" w:w="120"/>
              <w:bottom w:type="dxa" w:w="100"/>
              <w:right w:type="dxa" w:w="120"/>
            </w:tcMar>
            <w:vAlign w:val="top"/>
          </w:tcPr>
          <w:p>
            <w:r>
              <w:rPr>
                <w:b/>
                <w:bCs/>
                <w:color w:val="1F3864"/>
                <w:sz w:val="26"/>
                <w:szCs w:val="26"/>
              </w:rPr>
              <w:t xml:space="preserve">24. Exporting and sharing results as PDF</w:t>
            </w:r>
          </w:p>
        </w:tc>
      </w:tr>
      <w:tr>
        <w:tc>
          <w:tcPr>
            <w:tcW w:type="dxa" w:w="4675"/>
            <w:tcMar>
              <w:top w:type="dxa" w:w="100"/>
              <w:left w:type="dxa" w:w="120"/>
              <w:bottom w:type="dxa" w:w="100"/>
              <w:right w:type="dxa" w:w="120"/>
            </w:tcMar>
            <w:vAlign w:val="top"/>
          </w:tcPr>
          <w:p>
            <w:r>
              <w:rPr>
                <w:b w:val="false"/>
                <w:bCs w:val="false"/>
              </w:rPr>
              <w:t xml:space="preserve">• Cualquier tabla de resultados de la aplicación — comprobaciones, selección, análisis... — se puede generar como PDF en el propio navegador, a partir de los datos ya cargados en pantalla, sin volver a llamar a ningún endpoint.</w:t>
            </w:r>
          </w:p>
        </w:tc>
        <w:tc>
          <w:tcPr>
            <w:tcW w:type="dxa" w:w="4675"/>
            <w:tcMar>
              <w:top w:type="dxa" w:w="100"/>
              <w:left w:type="dxa" w:w="120"/>
              <w:bottom w:type="dxa" w:w="100"/>
              <w:right w:type="dxa" w:w="120"/>
            </w:tcMar>
            <w:vAlign w:val="top"/>
          </w:tcPr>
          <w:p>
            <w:r>
              <w:rPr>
                <w:b w:val="false"/>
                <w:bCs w:val="false"/>
              </w:rPr>
              <w:t xml:space="preserve">• Any results table in the application — checks, selection, analysis... — can be generated as a PDF in the browser itself, from the data already loaded on screen, without calling any endpoint again.</w:t>
            </w:r>
          </w:p>
        </w:tc>
      </w:tr>
      <w:tr>
        <w:tc>
          <w:tcPr>
            <w:tcW w:type="dxa" w:w="4675"/>
            <w:tcMar>
              <w:top w:type="dxa" w:w="100"/>
              <w:left w:type="dxa" w:w="120"/>
              <w:bottom w:type="dxa" w:w="100"/>
              <w:right w:type="dxa" w:w="120"/>
            </w:tcMar>
            <w:vAlign w:val="top"/>
          </w:tcPr>
          <w:p>
            <w:r>
              <w:rPr>
                <w:b w:val="false"/>
                <w:bCs w:val="false"/>
              </w:rPr>
              <w:t xml:space="preserve">• Descargar PDF: guarda el fichero directamente en el dispositivo.</w:t>
            </w:r>
          </w:p>
        </w:tc>
        <w:tc>
          <w:tcPr>
            <w:tcW w:type="dxa" w:w="4675"/>
            <w:tcMar>
              <w:top w:type="dxa" w:w="100"/>
              <w:left w:type="dxa" w:w="120"/>
              <w:bottom w:type="dxa" w:w="100"/>
              <w:right w:type="dxa" w:w="120"/>
            </w:tcMar>
            <w:vAlign w:val="top"/>
          </w:tcPr>
          <w:p>
            <w:r>
              <w:rPr>
                <w:b w:val="false"/>
                <w:bCs w:val="false"/>
              </w:rPr>
              <w:t xml:space="preserve">• Download PDF: saves the file directly to the device.</w:t>
            </w:r>
          </w:p>
        </w:tc>
      </w:tr>
      <w:tr>
        <w:tc>
          <w:tcPr>
            <w:tcW w:type="dxa" w:w="4675"/>
            <w:tcMar>
              <w:top w:type="dxa" w:w="100"/>
              <w:left w:type="dxa" w:w="120"/>
              <w:bottom w:type="dxa" w:w="100"/>
              <w:right w:type="dxa" w:w="120"/>
            </w:tcMar>
            <w:vAlign w:val="top"/>
          </w:tcPr>
          <w:p>
            <w:r>
              <w:rPr>
                <w:b w:val="false"/>
                <w:bCs w:val="false"/>
              </w:rPr>
              <w:t xml:space="preserve">• Compartir PDF: abre el panel nativo de "compartir" del dispositivo (navigator.share) con el PDF ya adjunto, para elegir Gmail, WhatsApp o cualquier otra app instalada, sin pasar por ningún servidor propio. Solo se ofrece en dispositivos que lo soportan — la mayoría de móviles; muchos navegadores de escritorio no.</w:t>
            </w:r>
          </w:p>
        </w:tc>
        <w:tc>
          <w:tcPr>
            <w:tcW w:type="dxa" w:w="4675"/>
            <w:tcMar>
              <w:top w:type="dxa" w:w="100"/>
              <w:left w:type="dxa" w:w="120"/>
              <w:bottom w:type="dxa" w:w="100"/>
              <w:right w:type="dxa" w:w="120"/>
            </w:tcMar>
            <w:vAlign w:val="top"/>
          </w:tcPr>
          <w:p>
            <w:r>
              <w:rPr>
                <w:b w:val="false"/>
                <w:bCs w:val="false"/>
              </w:rPr>
              <w:t xml:space="preserve">• Share PDF: opens the device's native "share" panel (navigator.share) with the PDF already attached, to choose Gmail, WhatsApp or any other installed app, without going through any server of ours. Only offered on devices that support it — most mobile devices; many desktop browsers don't.</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25. Validación del modelo</w:t>
            </w:r>
          </w:p>
        </w:tc>
        <w:tc>
          <w:tcPr>
            <w:tcW w:type="dxa" w:w="4675"/>
            <w:shd w:fill="D9E2F3" w:val="clear"/>
            <w:tcMar>
              <w:top w:type="dxa" w:w="100"/>
              <w:left w:type="dxa" w:w="120"/>
              <w:bottom w:type="dxa" w:w="100"/>
              <w:right w:type="dxa" w:w="120"/>
            </w:tcMar>
            <w:vAlign w:val="top"/>
          </w:tcPr>
          <w:p>
            <w:r>
              <w:rPr>
                <w:b/>
                <w:bCs/>
                <w:color w:val="1F3864"/>
                <w:sz w:val="26"/>
                <w:szCs w:val="26"/>
              </w:rPr>
              <w:t xml:space="preserve">25. Model validation</w:t>
            </w:r>
          </w:p>
        </w:tc>
      </w:tr>
      <w:tr>
        <w:tc>
          <w:tcPr>
            <w:tcW w:type="dxa" w:w="4675"/>
            <w:tcMar>
              <w:top w:type="dxa" w:w="100"/>
              <w:left w:type="dxa" w:w="120"/>
              <w:bottom w:type="dxa" w:w="100"/>
              <w:right w:type="dxa" w:w="120"/>
            </w:tcMar>
            <w:vAlign w:val="top"/>
          </w:tcPr>
          <w:p>
            <w:r>
              <w:rPr>
                <w:b w:val="false"/>
                <w:bCs w:val="false"/>
              </w:rPr>
              <w:t xml:space="preserve">• Comparación sistemática frente a una selección aleatoria de control — mismo tamaño de cartera, mismas reglas de rebalanceo — y frente a las antítesis de cada criterio directo (sección 16), como referencia de significancia práctica, no solo frente al propio índice.</w:t>
            </w:r>
          </w:p>
        </w:tc>
        <w:tc>
          <w:tcPr>
            <w:tcW w:type="dxa" w:w="4675"/>
            <w:tcMar>
              <w:top w:type="dxa" w:w="100"/>
              <w:left w:type="dxa" w:w="120"/>
              <w:bottom w:type="dxa" w:w="100"/>
              <w:right w:type="dxa" w:w="120"/>
            </w:tcMar>
            <w:vAlign w:val="top"/>
          </w:tcPr>
          <w:p>
            <w:r>
              <w:rPr>
                <w:b w:val="false"/>
                <w:bCs w:val="false"/>
              </w:rPr>
              <w:t xml:space="preserve">• Systematic comparison against a random control selection — same portfolio size, same rebalancing rules — and against each direct criterion's antithesis (section 16), as a benchmark for practical significance, not just against the index itself.</w:t>
            </w:r>
          </w:p>
        </w:tc>
      </w:tr>
      <w:tr>
        <w:tc>
          <w:tcPr>
            <w:tcW w:type="dxa" w:w="4675"/>
            <w:tcMar>
              <w:top w:type="dxa" w:w="100"/>
              <w:left w:type="dxa" w:w="120"/>
              <w:bottom w:type="dxa" w:w="100"/>
              <w:right w:type="dxa" w:w="120"/>
            </w:tcMar>
            <w:vAlign w:val="top"/>
          </w:tcPr>
          <w:p>
            <w:r>
              <w:rPr>
                <w:b w:val="false"/>
                <w:bCs w:val="false"/>
              </w:rPr>
              <w:t xml:space="preserve">• Limitaciones conocidas: en varios índices del catálogo el universo de valores es pequeño — hasta solo 3 componentes en algún índice ADR parcial (sección 4) —, el historial de mercado es limitado, y las ventanas de backtest son cortas — los resultados deben leerse con cautela estadística, no como prueba concluyente.</w:t>
            </w:r>
          </w:p>
        </w:tc>
        <w:tc>
          <w:tcPr>
            <w:tcW w:type="dxa" w:w="4675"/>
            <w:tcMar>
              <w:top w:type="dxa" w:w="100"/>
              <w:left w:type="dxa" w:w="120"/>
              <w:bottom w:type="dxa" w:w="100"/>
              <w:right w:type="dxa" w:w="120"/>
            </w:tcMar>
            <w:vAlign w:val="top"/>
          </w:tcPr>
          <w:p>
            <w:r>
              <w:rPr>
                <w:b w:val="false"/>
                <w:bCs w:val="false"/>
              </w:rPr>
              <w:t xml:space="preserve">• Known limitations: in several catalog indices the universe of stocks is small — as few as 3 components in one partial ADR index (section 4) —, market history is limited, and backtest windows are short — results should be read with statistical caution, not as conclusive proof.</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26. Modelo de réplica de un índice</w:t>
            </w:r>
          </w:p>
        </w:tc>
        <w:tc>
          <w:tcPr>
            <w:tcW w:type="dxa" w:w="4675"/>
            <w:shd w:fill="D9E2F3" w:val="clear"/>
            <w:tcMar>
              <w:top w:type="dxa" w:w="100"/>
              <w:left w:type="dxa" w:w="120"/>
              <w:bottom w:type="dxa" w:w="100"/>
              <w:right w:type="dxa" w:w="120"/>
            </w:tcMar>
            <w:vAlign w:val="top"/>
          </w:tcPr>
          <w:p>
            <w:r>
              <w:rPr>
                <w:b/>
                <w:bCs/>
                <w:color w:val="1F3864"/>
                <w:sz w:val="26"/>
                <w:szCs w:val="26"/>
              </w:rPr>
              <w:t xml:space="preserve">26. Index replica model</w:t>
            </w:r>
          </w:p>
        </w:tc>
      </w:tr>
      <w:tr>
        <w:tc>
          <w:tcPr>
            <w:tcW w:type="dxa" w:w="4675"/>
            <w:tcMar>
              <w:top w:type="dxa" w:w="100"/>
              <w:left w:type="dxa" w:w="120"/>
              <w:bottom w:type="dxa" w:w="100"/>
              <w:right w:type="dxa" w:w="120"/>
            </w:tcMar>
            <w:vAlign w:val="top"/>
          </w:tcPr>
          <w:p>
            <w:r>
              <w:rPr>
                <w:b w:val="false"/>
                <w:bCs w:val="false"/>
              </w:rPr>
              <w:t xml:space="preserve">Busca, entre los componentes del índice elegido, la combinación de 3 a 6 valores y los pesos que minimizan el error de seguimiento frente al propio índice — la diferencia diaria entre el incremento de la cartera y el del índice, ajustada por mínimos cuadrados con la restricción de que los pesos sumen 100% —, no busca batir al índice, busca parecerse a él lo más posible: el mismo principio que usan los fondos indexados reales, aplicado a un puñado de valores en vez de a la réplica completa.</w:t>
            </w:r>
          </w:p>
        </w:tc>
        <w:tc>
          <w:tcPr>
            <w:tcW w:type="dxa" w:w="4675"/>
            <w:tcMar>
              <w:top w:type="dxa" w:w="100"/>
              <w:left w:type="dxa" w:w="120"/>
              <w:bottom w:type="dxa" w:w="100"/>
              <w:right w:type="dxa" w:w="120"/>
            </w:tcMar>
            <w:vAlign w:val="top"/>
          </w:tcPr>
          <w:p>
            <w:r>
              <w:rPr>
                <w:b w:val="false"/>
                <w:bCs w:val="false"/>
              </w:rPr>
              <w:t xml:space="preserve">Searches, among the chosen index's components, for the combination of 3 to 6 stocks and the weights that minimize the tracking error against the index itself — the daily difference between the portfolio's change and the index's, fitted by least squares with the constraint that the weights add up to 100% —, it doesn't look to beat the index, it looks to resemble it as closely as possible: the same principle real index funds use, applied to a handful of stocks instead of a full replication.</w:t>
            </w:r>
          </w:p>
        </w:tc>
      </w:tr>
      <w:tr>
        <w:tc>
          <w:tcPr>
            <w:tcW w:type="dxa" w:w="4675"/>
            <w:tcMar>
              <w:top w:type="dxa" w:w="100"/>
              <w:left w:type="dxa" w:w="120"/>
              <w:bottom w:type="dxa" w:w="100"/>
              <w:right w:type="dxa" w:w="120"/>
            </w:tcMar>
            <w:vAlign w:val="top"/>
          </w:tcPr>
          <w:p>
            <w:r>
              <w:rPr>
                <w:b w:val="false"/>
                <w:bCs w:val="false"/>
              </w:rPr>
              <w:t xml:space="preserve">Búsqueda por fuerza bruta, prueba todas las combinaciones posibles, para índices de hasta 25 componentes; búsqueda por pasos, añade de uno en uno el valor que más reduce el error, para índices más grandes, hasta 50 componentes — deja fuera solo al Nasdaq 100 por su tamaño. Pensada sobre todo para los índices ADR (sección 4), que no tienen ningún ETF de referencia; si el índice elegido sí tiene un ETF real, comprarlo sigue siendo la forma más sencilla y fiable de replicarlo.</w:t>
            </w:r>
          </w:p>
        </w:tc>
        <w:tc>
          <w:tcPr>
            <w:tcW w:type="dxa" w:w="4675"/>
            <w:tcMar>
              <w:top w:type="dxa" w:w="100"/>
              <w:left w:type="dxa" w:w="120"/>
              <w:bottom w:type="dxa" w:w="100"/>
              <w:right w:type="dxa" w:w="120"/>
            </w:tcMar>
            <w:vAlign w:val="top"/>
          </w:tcPr>
          <w:p>
            <w:r>
              <w:rPr>
                <w:b w:val="false"/>
                <w:bCs w:val="false"/>
              </w:rPr>
              <w:t xml:space="preserve">Brute-force search, tries every possible combination, for indices with up to 25 components; stepwise search, adds one at a time whichever stock most reduces the error, for larger indices, up to 50 components — leaves out only the Nasdaq 100, due to its size. Designed mainly for the ADR indices (section 4), which have no reference ETF; if the chosen index does have a real ETF, buying it remains the simplest and most reliable way to replicate it.</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27. Anomalías en el flujo de dinero bajo</w:t>
            </w:r>
          </w:p>
        </w:tc>
        <w:tc>
          <w:tcPr>
            <w:tcW w:type="dxa" w:w="4675"/>
            <w:shd w:fill="D9E2F3" w:val="clear"/>
            <w:tcMar>
              <w:top w:type="dxa" w:w="100"/>
              <w:left w:type="dxa" w:w="120"/>
              <w:bottom w:type="dxa" w:w="100"/>
              <w:right w:type="dxa" w:w="120"/>
            </w:tcMar>
            <w:vAlign w:val="top"/>
          </w:tcPr>
          <w:p>
            <w:r>
              <w:rPr>
                <w:b/>
                <w:bCs/>
                <w:color w:val="1F3864"/>
                <w:sz w:val="26"/>
                <w:szCs w:val="26"/>
              </w:rPr>
              <w:t xml:space="preserve">27. Low money flow anomalies</w:t>
            </w:r>
          </w:p>
        </w:tc>
      </w:tr>
      <w:tr>
        <w:tc>
          <w:tcPr>
            <w:tcW w:type="dxa" w:w="4675"/>
            <w:tcMar>
              <w:top w:type="dxa" w:w="100"/>
              <w:left w:type="dxa" w:w="120"/>
              <w:bottom w:type="dxa" w:w="100"/>
              <w:right w:type="dxa" w:w="120"/>
            </w:tcMar>
            <w:vAlign w:val="top"/>
          </w:tcPr>
          <w:p>
            <w:r>
              <w:rPr>
                <w:b w:val="false"/>
                <w:bCs w:val="false"/>
              </w:rPr>
              <w:t xml:space="preserve">Sección de investigación aparte, en su propia entrada de menú, nacida de una observación durante el desarrollo: al comparar la selección por "flujo de dinero bajo" (sección 16) con el resto de criterios en distintas duraciones de backtest, su dispersión de resultados se comporta de forma distinta al resto — se estrecha, en vez de ensancharse, al alargar la ventana, con un sesgo positivo hacia rentabilidades superiores al índice.</w:t>
            </w:r>
          </w:p>
        </w:tc>
        <w:tc>
          <w:tcPr>
            <w:tcW w:type="dxa" w:w="4675"/>
            <w:tcMar>
              <w:top w:type="dxa" w:w="100"/>
              <w:left w:type="dxa" w:w="120"/>
              <w:bottom w:type="dxa" w:w="100"/>
              <w:right w:type="dxa" w:w="120"/>
            </w:tcMar>
            <w:vAlign w:val="top"/>
          </w:tcPr>
          <w:p>
            <w:r>
              <w:rPr>
                <w:b w:val="false"/>
                <w:bCs w:val="false"/>
              </w:rPr>
              <w:t xml:space="preserve">A separate research section, in its own menu entry, born from an observation made during development: when comparing selection by "low money flow" (section 16) against the other criteria across different backtest durations, its spread of results behaves differently from the rest — it narrows, instead of widening, as the window gets longer, with a positive bias toward returns above the index.</w:t>
            </w:r>
          </w:p>
        </w:tc>
      </w:tr>
      <w:tr>
        <w:tc>
          <w:tcPr>
            <w:tcW w:type="dxa" w:w="4675"/>
            <w:tcMar>
              <w:top w:type="dxa" w:w="100"/>
              <w:left w:type="dxa" w:w="120"/>
              <w:bottom w:type="dxa" w:w="100"/>
              <w:right w:type="dxa" w:w="120"/>
            </w:tcMar>
            <w:vAlign w:val="top"/>
          </w:tcPr>
          <w:p>
            <w:r>
              <w:rPr>
                <w:b w:val="false"/>
                <w:bCs w:val="false"/>
              </w:rPr>
              <w:t xml:space="preserve">Cuatro herramientas, cada una una comprobación distinta para entender si es un efecto real o un artefacto de la muestra: concentración de la selección, cuenta cada aparición de cada valor elegido en varias duraciones de ventana, comparando "flujo bajo" con "flujo" normal como referencia; medición de caídas previas, para cada valor elegido calcula cuántas sesiones atrás hace falta retroceder para encontrar una caída de precio del 5, 10, 15 o 20%.</w:t>
            </w:r>
          </w:p>
        </w:tc>
        <w:tc>
          <w:tcPr>
            <w:tcW w:type="dxa" w:w="4675"/>
            <w:tcMar>
              <w:top w:type="dxa" w:w="100"/>
              <w:left w:type="dxa" w:w="120"/>
              <w:bottom w:type="dxa" w:w="100"/>
              <w:right w:type="dxa" w:w="120"/>
            </w:tcMar>
            <w:vAlign w:val="top"/>
          </w:tcPr>
          <w:p>
            <w:r>
              <w:rPr>
                <w:b w:val="false"/>
                <w:bCs w:val="false"/>
              </w:rPr>
              <w:t xml:space="preserve">Four tools, each a different check to understand whether this is a real effect or a sample artifact: selection concentration, counts every appearance of every chosen stock across several window durations, comparing "low flow" against regular "flow" as a reference; prior drop measurement, for each chosen stock works out how many sessions back you need to go to find a 5, 10, 15 or 20% price drop.</w:t>
            </w:r>
          </w:p>
        </w:tc>
      </w:tr>
      <w:tr>
        <w:tc>
          <w:tcPr>
            <w:tcW w:type="dxa" w:w="4675"/>
            <w:tcMar>
              <w:top w:type="dxa" w:w="100"/>
              <w:left w:type="dxa" w:w="120"/>
              <w:bottom w:type="dxa" w:w="100"/>
              <w:right w:type="dxa" w:w="120"/>
            </w:tcMar>
            <w:vAlign w:val="top"/>
          </w:tcPr>
          <w:p>
            <w:r>
              <w:rPr>
                <w:b w:val="false"/>
                <w:bCs w:val="false"/>
              </w:rPr>
              <w:t xml:space="preserve">Perfil de volumen previo, el complemento de la anterior y la comprobación que de verdad separa las dos hipótesis en juego — si la caída vino con un pico puntual de volumen, compatible con un desplome real, o con volumen sostenido sin ningún pico, compatible con una fase de acumulación silenciosa; y rentabilidad de la selección por flujo de dinero bajo, la comprobación directa sobre la rentabilidad en vez de solo sobre variables intermedias, con los cuatro parámetros de cartera (factor de penalización, número de componentes, tope de diversificación, frecuencia de rebalanceo) de selección única y varios índices tradicionales a la vez.</w:t>
            </w:r>
          </w:p>
        </w:tc>
        <w:tc>
          <w:tcPr>
            <w:tcW w:type="dxa" w:w="4675"/>
            <w:tcMar>
              <w:top w:type="dxa" w:w="100"/>
              <w:left w:type="dxa" w:w="120"/>
              <w:bottom w:type="dxa" w:w="100"/>
              <w:right w:type="dxa" w:w="120"/>
            </w:tcMar>
            <w:vAlign w:val="top"/>
          </w:tcPr>
          <w:p>
            <w:r>
              <w:rPr>
                <w:b w:val="false"/>
                <w:bCs w:val="false"/>
              </w:rPr>
              <w:t xml:space="preserve">Prior volume profile, the companion check to the previous one, and the one that actually separates the two remaining hypotheses — whether the drop came with a sharp one-day volume spike, consistent with a real crash, or with sustained volume and no spike at all, consistent with a quiet accumulation phase; and low money flow selection returns, the direct check on returns rather than just on intermediate variables, with the four portfolio parameters (penalty factor, number of components, diversification cap, rebalancing frequency) as single-choice selectors, across several traditional indices at once.</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28. Rentabilidad de todos los ETFs</w:t>
            </w:r>
          </w:p>
        </w:tc>
        <w:tc>
          <w:tcPr>
            <w:tcW w:type="dxa" w:w="4675"/>
            <w:shd w:fill="D9E2F3" w:val="clear"/>
            <w:tcMar>
              <w:top w:type="dxa" w:w="100"/>
              <w:left w:type="dxa" w:w="120"/>
              <w:bottom w:type="dxa" w:w="100"/>
              <w:right w:type="dxa" w:w="120"/>
            </w:tcMar>
            <w:vAlign w:val="top"/>
          </w:tcPr>
          <w:p>
            <w:r>
              <w:rPr>
                <w:b/>
                <w:bCs/>
                <w:color w:val="1F3864"/>
                <w:sz w:val="26"/>
                <w:szCs w:val="26"/>
              </w:rPr>
              <w:t xml:space="preserve">28. All ETF returns</w:t>
            </w:r>
          </w:p>
        </w:tc>
      </w:tr>
      <w:tr>
        <w:tc>
          <w:tcPr>
            <w:tcW w:type="dxa" w:w="4675"/>
            <w:tcMar>
              <w:top w:type="dxa" w:w="100"/>
              <w:left w:type="dxa" w:w="120"/>
              <w:bottom w:type="dxa" w:w="100"/>
              <w:right w:type="dxa" w:w="120"/>
            </w:tcMar>
            <w:vAlign w:val="top"/>
          </w:tcPr>
          <w:p>
            <w:r>
              <w:rPr>
                <w:b w:val="false"/>
                <w:bCs w:val="false"/>
              </w:rPr>
              <w:t xml:space="preserve">Misma comparación que "Rentabilidad de los ETFs" (sección 22), pero recorriendo de una vez todos los índices que tienen algún ETF de referencia — excluye automáticamente el PSI 20 y toda la serie de índices ADR (sección 4), que no tienen ninguno. Resiliente por índice: si uno falla al descargarse, se marca con su propio error sin romper el cálculo de los demás. Un único PDF con todos los índices juntos (sección 24), para comparar o compartir de una vez.</w:t>
            </w:r>
          </w:p>
        </w:tc>
        <w:tc>
          <w:tcPr>
            <w:tcW w:type="dxa" w:w="4675"/>
            <w:tcMar>
              <w:top w:type="dxa" w:w="100"/>
              <w:left w:type="dxa" w:w="120"/>
              <w:bottom w:type="dxa" w:w="100"/>
              <w:right w:type="dxa" w:w="120"/>
            </w:tcMar>
            <w:vAlign w:val="top"/>
          </w:tcPr>
          <w:p>
            <w:r>
              <w:rPr>
                <w:b w:val="false"/>
                <w:bCs w:val="false"/>
              </w:rPr>
              <w:t xml:space="preserve">The same comparison as "ETF returns" (section 22), but going through every index with a reference ETF in a single run — automatically excludes the PSI 20 and the whole ADR index series (section 4), which have none. Resilient per index: if one fails to download, it's flagged with its own error without breaking the calculation for the rest. A single PDF with every index together (section 24), for comparing or sharing all at once.</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29. Resiliencia frente a datos incompletos y avisos de resultado no fiable</w:t>
            </w:r>
          </w:p>
        </w:tc>
        <w:tc>
          <w:tcPr>
            <w:tcW w:type="dxa" w:w="4675"/>
            <w:shd w:fill="D9E2F3" w:val="clear"/>
            <w:tcMar>
              <w:top w:type="dxa" w:w="100"/>
              <w:left w:type="dxa" w:w="120"/>
              <w:bottom w:type="dxa" w:w="100"/>
              <w:right w:type="dxa" w:w="120"/>
            </w:tcMar>
            <w:vAlign w:val="top"/>
          </w:tcPr>
          <w:p>
            <w:r>
              <w:rPr>
                <w:b/>
                <w:bCs/>
                <w:color w:val="1F3864"/>
                <w:sz w:val="26"/>
                <w:szCs w:val="26"/>
              </w:rPr>
              <w:t xml:space="preserve">29. Resilience to incomplete data and unreliable-result warnings</w:t>
            </w:r>
          </w:p>
        </w:tc>
      </w:tr>
      <w:tr>
        <w:tc>
          <w:tcPr>
            <w:tcW w:type="dxa" w:w="4675"/>
            <w:tcMar>
              <w:top w:type="dxa" w:w="100"/>
              <w:left w:type="dxa" w:w="120"/>
              <w:bottom w:type="dxa" w:w="100"/>
              <w:right w:type="dxa" w:w="120"/>
            </w:tcMar>
            <w:vAlign w:val="top"/>
          </w:tcPr>
          <w:p>
            <w:r>
              <w:rPr>
                <w:b w:val="false"/>
                <w:bCs w:val="false"/>
              </w:rPr>
              <w:t xml:space="preserve">Un componente concreto de un índice puede fallar al descargarse — símbolo cambiado, historial insuficiente para la ventana pedida — sin que eso rompa el cálculo del resto: se excluye ese valor y se continúa, en vez de que la petición entera falle con un error genérico (afecta a la descarga de datos compartida por buena parte de la aplicación, no a una sola herramienta).</w:t>
            </w:r>
          </w:p>
        </w:tc>
        <w:tc>
          <w:tcPr>
            <w:tcW w:type="dxa" w:w="4675"/>
            <w:tcMar>
              <w:top w:type="dxa" w:w="100"/>
              <w:left w:type="dxa" w:w="120"/>
              <w:bottom w:type="dxa" w:w="100"/>
              <w:right w:type="dxa" w:w="120"/>
            </w:tcMar>
            <w:vAlign w:val="top"/>
          </w:tcPr>
          <w:p>
            <w:r>
              <w:rPr>
                <w:b w:val="false"/>
                <w:bCs w:val="false"/>
              </w:rPr>
              <w:t xml:space="preserve">A specific index component can fail to download — a changed ticker, insufficient history for the requested window — without that breaking the calculation for the rest: that stock is excluded and the process continues, instead of the whole request failing with a generic error (affects the data-download layer shared by much of the application, not just one tool).</w:t>
            </w:r>
          </w:p>
        </w:tc>
      </w:tr>
      <w:tr>
        <w:tc>
          <w:tcPr>
            <w:tcW w:type="dxa" w:w="4675"/>
            <w:tcMar>
              <w:top w:type="dxa" w:w="100"/>
              <w:left w:type="dxa" w:w="120"/>
              <w:bottom w:type="dxa" w:w="100"/>
              <w:right w:type="dxa" w:w="120"/>
            </w:tcMar>
            <w:vAlign w:val="top"/>
          </w:tcPr>
          <w:p>
            <w:r>
              <w:rPr>
                <w:b w:val="false"/>
                <w:bCs w:val="false"/>
              </w:rPr>
              <w:t xml:space="preserve">Además, cuando un cálculo da una rentabilidad tan extrema — por debajo de un umbral, -60% — que es más probable que se deba a un fallo interno todavía no resuelto que a una pérdida real de la cartera, no se muestra ese número: se marca de forma explícita ("N/D *") con una nota aclaratoria, en vez de dar una cifra que parece real y no lo es. Amplía la cautela de la sección 25 con esta salvaguarda concreta.</w:t>
            </w:r>
          </w:p>
        </w:tc>
        <w:tc>
          <w:tcPr>
            <w:tcW w:type="dxa" w:w="4675"/>
            <w:tcMar>
              <w:top w:type="dxa" w:w="100"/>
              <w:left w:type="dxa" w:w="120"/>
              <w:bottom w:type="dxa" w:w="100"/>
              <w:right w:type="dxa" w:w="120"/>
            </w:tcMar>
            <w:vAlign w:val="top"/>
          </w:tcPr>
          <w:p>
            <w:r>
              <w:rPr>
                <w:b w:val="false"/>
                <w:bCs w:val="false"/>
              </w:rPr>
              <w:t xml:space="preserve">Also, when a calculation produces a return so extreme — below a threshold, -60% — that it's more likely due to an internal error not yet resolved than to a real portfolio loss, that number isn't shown: it's explicitly flagged ("N/A *") with an explanatory note, instead of giving a figure that looks real but isn't. Extends the caution from section 25 with this specific safeguard.</w:t>
            </w:r>
          </w:p>
        </w:tc>
      </w:tr>
      <w:tr>
        <w:tc>
          <w:tcPr>
            <w:tcW w:type="dxa" w:w="4675"/>
            <w:shd w:fill="D9E2F3" w:val="clear"/>
            <w:tcMar>
              <w:top w:type="dxa" w:w="100"/>
              <w:left w:type="dxa" w:w="120"/>
              <w:bottom w:type="dxa" w:w="100"/>
              <w:right w:type="dxa" w:w="120"/>
            </w:tcMar>
            <w:vAlign w:val="top"/>
          </w:tcPr>
          <w:p>
            <w:r>
              <w:rPr>
                <w:b/>
                <w:bCs/>
                <w:color w:val="1F3864"/>
                <w:sz w:val="26"/>
                <w:szCs w:val="26"/>
              </w:rPr>
              <w:t xml:space="preserve">30. Cuestiones abiertas para el desarrollo</w:t>
            </w:r>
          </w:p>
        </w:tc>
        <w:tc>
          <w:tcPr>
            <w:tcW w:type="dxa" w:w="4675"/>
            <w:shd w:fill="D9E2F3" w:val="clear"/>
            <w:tcMar>
              <w:top w:type="dxa" w:w="100"/>
              <w:left w:type="dxa" w:w="120"/>
              <w:bottom w:type="dxa" w:w="100"/>
              <w:right w:type="dxa" w:w="120"/>
            </w:tcMar>
            <w:vAlign w:val="top"/>
          </w:tcPr>
          <w:p>
            <w:r>
              <w:rPr>
                <w:b/>
                <w:bCs/>
                <w:color w:val="1F3864"/>
                <w:sz w:val="26"/>
                <w:szCs w:val="26"/>
              </w:rPr>
              <w:t xml:space="preserve">30. Open questions for development</w:t>
            </w:r>
          </w:p>
        </w:tc>
      </w:tr>
      <w:tr>
        <w:tc>
          <w:tcPr>
            <w:tcW w:type="dxa" w:w="4675"/>
            <w:tcMar>
              <w:top w:type="dxa" w:w="100"/>
              <w:left w:type="dxa" w:w="120"/>
              <w:bottom w:type="dxa" w:w="100"/>
              <w:right w:type="dxa" w:w="120"/>
            </w:tcMar>
            <w:vAlign w:val="top"/>
          </w:tcPr>
          <w:p>
            <w:r>
              <w:rPr>
                <w:b w:val="false"/>
                <w:bCs w:val="false"/>
              </w:rPr>
              <w:t xml:space="preserve">• Explorar más indicadores interpretables dentro del mismo marco riguroso — por ejemplo, una media móvil de ventana ajustable en vez de las 3/5/8/13 sesiones fijas actuales.</w:t>
            </w:r>
          </w:p>
        </w:tc>
        <w:tc>
          <w:tcPr>
            <w:tcW w:type="dxa" w:w="4675"/>
            <w:tcMar>
              <w:top w:type="dxa" w:w="100"/>
              <w:left w:type="dxa" w:w="120"/>
              <w:bottom w:type="dxa" w:w="100"/>
              <w:right w:type="dxa" w:w="120"/>
            </w:tcMar>
            <w:vAlign w:val="top"/>
          </w:tcPr>
          <w:p>
            <w:r>
              <w:rPr>
                <w:b w:val="false"/>
                <w:bCs w:val="false"/>
              </w:rPr>
              <w:t xml:space="preserve">• Explore more interpretable indicators within the same rigorous framework — for example, a moving average with an adjustable window instead of the current fixed 3/5/8/13 sessions.</w:t>
            </w:r>
          </w:p>
        </w:tc>
      </w:tr>
      <w:tr>
        <w:tc>
          <w:tcPr>
            <w:tcW w:type="dxa" w:w="4675"/>
            <w:tcMar>
              <w:top w:type="dxa" w:w="100"/>
              <w:left w:type="dxa" w:w="120"/>
              <w:bottom w:type="dxa" w:w="100"/>
              <w:right w:type="dxa" w:w="120"/>
            </w:tcMar>
            <w:vAlign w:val="top"/>
          </w:tcPr>
          <w:p>
            <w:r>
              <w:rPr>
                <w:b w:val="false"/>
                <w:bCs w:val="false"/>
              </w:rPr>
              <w:t xml:space="preserve">• Descartado a propósito: un modelo de selección propio tipo red neuronal / perceptrón — demasiado riesgo de sobreajuste con estos datos y pérdida de auditabilidad (ver sección 3).</w:t>
            </w:r>
          </w:p>
        </w:tc>
        <w:tc>
          <w:tcPr>
            <w:tcW w:type="dxa" w:w="4675"/>
            <w:tcMar>
              <w:top w:type="dxa" w:w="100"/>
              <w:left w:type="dxa" w:w="120"/>
              <w:bottom w:type="dxa" w:w="100"/>
              <w:right w:type="dxa" w:w="120"/>
            </w:tcMar>
            <w:vAlign w:val="top"/>
          </w:tcPr>
          <w:p>
            <w:r>
              <w:rPr>
                <w:b w:val="false"/>
                <w:bCs w:val="false"/>
              </w:rPr>
              <w:t xml:space="preserve">• Deliberately ruled out: a custom neural-net / perceptron-style selection model — too much overfitting risk with this data, and loss of auditability (see section 3).</w:t>
            </w:r>
          </w:p>
        </w:tc>
      </w:tr>
      <w:tr>
        <w:tc>
          <w:tcPr>
            <w:tcW w:type="dxa" w:w="4675"/>
            <w:tcMar>
              <w:top w:type="dxa" w:w="100"/>
              <w:left w:type="dxa" w:w="120"/>
              <w:bottom w:type="dxa" w:w="100"/>
              <w:right w:type="dxa" w:w="120"/>
            </w:tcMar>
            <w:vAlign w:val="top"/>
          </w:tcPr>
          <w:p>
            <w:r>
              <w:rPr>
                <w:b w:val="false"/>
                <w:bCs w:val="false"/>
              </w:rPr>
              <w:t xml:space="preserve">• Fichero huérfano pendiente de borrar del repositorio: pages/api/testOptimizacion.js, ya no se llama desde ninguna página. La selección por "veces seleccionado" (pages/seleccionVeces.js) está huérfana a propósito, no pendiente de borrado — ver el aviso de estado en la sección 18.</w:t>
            </w:r>
          </w:p>
        </w:tc>
        <w:tc>
          <w:tcPr>
            <w:tcW w:type="dxa" w:w="4675"/>
            <w:tcMar>
              <w:top w:type="dxa" w:w="100"/>
              <w:left w:type="dxa" w:w="120"/>
              <w:bottom w:type="dxa" w:w="100"/>
              <w:right w:type="dxa" w:w="120"/>
            </w:tcMar>
            <w:vAlign w:val="top"/>
          </w:tcPr>
          <w:p>
            <w:r>
              <w:rPr>
                <w:b w:val="false"/>
                <w:bCs w:val="false"/>
              </w:rPr>
              <w:t xml:space="preserve">• Orphaned file still pending deletion from the repo: pages/api/testOptimizacion.js, no longer called from any page. The "times selected" selection (pages/seleccionVeces.js) is deliberately orphaned, not pending deletion — see the status note in section 18.</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2026-07-20T04:07:51.051Z</dcterms:created>
  <dcterms:modified xsi:type="dcterms:W3CDTF">2026-07-20T04:07:51.063Z</dcterms:modified>
</cp:coreProperties>
</file>

<file path=docProps/custom.xml><?xml version="1.0" encoding="utf-8"?>
<Properties xmlns="http://schemas.openxmlformats.org/officeDocument/2006/custom-properties" xmlns:vt="http://schemas.openxmlformats.org/officeDocument/2006/docPropsVTypes"/>
</file>