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36"/>
          <w:szCs w:val="36"/>
        </w:rPr>
        <w:t xml:space="preserve">Observaciones — Fondo IA</w:t>
      </w:r>
    </w:p>
    <w:p>
      <w:pPr>
        <w:spacing w:after="120"/>
      </w:pPr>
      <w:r>
        <w:t xml:space="preserve">Este documento recoge, en orden cronológico, las observaciones, comentarios, hipótesis y pequeños experimentos que se van haciendo sobre el comportamiento del modelo a medida que se prueba la aplicación. No sustituye al documento de especificaciones (que recoge las reglas ya decididas), sino que sirve de cuaderno de bitácora del proceso de aprendizaje sobre el programa y sobre el propio mercado.</w:t>
      </w:r>
    </w:p>
    <w:p>
      <w:pPr>
        <w:spacing w:after="120" w:before="240"/>
      </w:pPr>
      <w:r>
        <w:rPr>
          <w:b/>
          <w:bCs/>
          <w:color w:val="1F3864"/>
          <w:sz w:val="28"/>
          <w:szCs w:val="28"/>
        </w:rPr>
        <w:t xml:space="preserve">17 de julio de 2026 — ¿Merece la pena optimizar el factor de penalización?</w:t>
      </w:r>
    </w:p>
    <w:p>
      <w:pPr>
        <w:spacing w:after="120"/>
      </w:pPr>
      <w:r>
        <w:t xml:space="preserve">Con el factor de penalización fijo en 2 (el valor original, elegido de forma arbitraria), la rentabilidad total obtenida por el modelo en la ventana de 20 sesiones es de -5,591%, mientras que el propio índice Dow Jones tuvo en ese mismo periodo un incremento pequeño pero positivo.</w:t>
      </w:r>
    </w:p>
    <w:p>
      <w:pPr>
        <w:spacing w:after="120"/>
      </w:pPr>
      <w:r>
        <w:t xml:space="preserve">Al dejar que la aplicación busque automáticamente el factor que maximiza la rentabilidad de las carteras anteriores (la parte del modelo realmente alcanzable), el factor pasa de 2 a 0,7, y la rentabilidad del modelo mejora sustancialmente hasta +6,004%. La diferencia es de más de 11 puntos porcentuales entre un factor y otro.</w:t>
      </w:r>
    </w:p>
    <w:p>
      <w:pPr>
        <w:spacing w:after="120"/>
      </w:pPr>
      <w:r>
        <w:t xml:space="preserve">Hipótesis inicial: sí parece claramente beneficioso dejar que el modelo optimice el factor de penalización en vez de fijarlo de antemano de forma arbitraria. Queda pendiente comprobar si esta conclusión se sostiene en otras fechas y ventanas de 20 sesiones distintas, antes de darla por consolidada.</w:t>
      </w:r>
    </w:p>
    <w:p>
      <w:pPr>
        <w:spacing w:after="120" w:before="240"/>
      </w:pPr>
      <w:r>
        <w:rPr>
          <w:b/>
          <w:bCs/>
          <w:color w:val="1F3864"/>
          <w:sz w:val="28"/>
          <w:szCs w:val="28"/>
        </w:rPr>
        <w:t xml:space="preserve">¿Y el número de componentes de la cartera?</w:t>
      </w:r>
    </w:p>
    <w:p>
      <w:pPr>
        <w:spacing w:after="120"/>
      </w:pPr>
      <w:r>
        <w:t xml:space="preserve">Manteniendo el factor de penalización fijo en 2, pero cambiando el número de componentes de 5 (el valor de partida) a 4, la función beneficio pasa de -5,591% a +4,717%: una mejora de más de 10 puntos porcentuales solo por ajustar cuántos valores forman la cartera.</w:t>
      </w:r>
    </w:p>
    <w:p>
      <w:pPr>
        <w:spacing w:after="120"/>
      </w:pPr>
      <w:r>
        <w:t xml:space="preserve">Dejando que la aplicación optimice a la vez el factor de penalización (que pasa a 0,7) y el número de componentes (que pasa a 4), la función beneficio sube hasta +7,822% — la mejor combinación probada hasta el momento, y muy por encima tanto del punto de partida (factor 2, 5 componentes) como de optimizar una sola variable por separado.</w:t>
      </w:r>
    </w:p>
    <w:p>
      <w:pPr>
        <w:spacing w:after="120"/>
      </w:pPr>
      <w:r>
        <w:t xml:space="preserve">Esto refuerza la hipótesis: dejar que el modelo optimice el número de componentes, además del factor, también parece beneficioso. Se mantiene pendiente comprobar si esta conclusión se sostiene en otras fechas.</w:t>
      </w:r>
    </w:p>
    <w:p>
      <w:pPr>
        <w:spacing w:after="120" w:before="240"/>
      </w:pPr>
      <w:r>
        <w:rPr>
          <w:b/>
          <w:bCs/>
          <w:color w:val="1F3864"/>
          <w:sz w:val="28"/>
          <w:szCs w:val="28"/>
        </w:rPr>
        <w:t xml:space="preserve">¿Y el tope de diversificación?</w:t>
      </w:r>
    </w:p>
    <w:p>
      <w:pPr>
        <w:spacing w:after="120"/>
      </w:pPr>
      <w:r>
        <w:t xml:space="preserve">Optimizando solo el tope de diversificación (dejando el factor en 2 y el número de componentes en 5, los valores de partida), el beneficio mejora de -5,591% a -1,145%: una mejora clara, aunque el resultado sigue siendo negativo.</w:t>
      </w:r>
    </w:p>
    <w:p>
      <w:pPr>
        <w:spacing w:after="120"/>
      </w:pPr>
      <w:r>
        <w:t xml:space="preserve">Optimizando primero el factor de penalización (que pasa a 0,7) y después el tope de diversificación (con 5 componentes), el tope óptimo resulta ser 45% en vez del 40% de partida, y el beneficio sube hasta +6,108%.</w:t>
      </w:r>
    </w:p>
    <w:p>
      <w:pPr>
        <w:spacing w:after="120"/>
      </w:pPr>
      <w:r>
        <w:t xml:space="preserve">Optimizando la cadena completa en orden (factor → 0,7; número de componentes → 4; tope de diversificación, calculado a continuación), el tope óptimo se queda invariable en el 40% de partida, y el beneficio final es +7,822% — exactamente el mismo resultado que se obtuvo optimizando solo el factor y el número de componentes, sin tocar el tope. Esto confirma que, en esa combinación concreta (factor 0,7, 4 componentes), el tope del 40% no llega a ser una restricción activa: ningún componente necesita superarlo, así que cambiar su valor no afecta al resultado.</w:t>
      </w:r>
    </w:p>
    <w:p>
      <w:pPr>
        <w:spacing w:after="120"/>
      </w:pPr>
      <w:r>
        <w:t xml:space="preserve">Conclusión provisional: el tope de diversificación sí puede aportar mejoras por sí solo o combinado con el factor, pero su efecto depende de si realmente actúa como restricción en cada combinación de las demás variables — no siempre es determinante.</w:t>
      </w:r>
    </w:p>
    <w:p>
      <w:pPr>
        <w:spacing w:after="120" w:before="240"/>
      </w:pPr>
      <w:r>
        <w:rPr>
          <w:b/>
          <w:bCs/>
          <w:color w:val="1F3864"/>
          <w:sz w:val="28"/>
          <w:szCs w:val="28"/>
        </w:rPr>
        <w:t xml:space="preserve">¿Y el reparto del peso liberado?</w:t>
      </w:r>
    </w:p>
    <w:p>
      <w:pPr>
        <w:spacing w:after="120"/>
      </w:pPr>
      <w:r>
        <w:t xml:space="preserve">Se probó un método "proporcional" para el reparto del peso liberado (en vez de a partes iguales, repartirlo según la puntuación de cada componente ese día). El resultado: no mejora en nada, ni probado solo ni combinado con las demás variables ya optimizadas.</w:t>
      </w:r>
    </w:p>
    <w:p>
      <w:pPr>
        <w:spacing w:after="120"/>
      </w:pPr>
      <w:r>
        <w:t xml:space="preserve">A raíz de esto, se introdujo un tercer método, "libre", que da todo el peso liberado al componente con mejor retorno conocido al día siguiente. Por construcción, este método siempre iguala o supera a los demás, precisamente porque usa información (la cotización de mañana) que no estaría disponible en una decisión real tomada hoy. Por eso se ha dejado fuera de la "cadena de selección" automática (que aspira a mostrar una expectativa realista), y queda disponible solo para explorarlo de forma manual, como referencia del límite superior teórico del modelo.</w:t>
      </w:r>
    </w:p>
    <w:p>
      <w:pPr>
        <w:spacing w:after="120"/>
      </w:pPr>
      <w:r>
        <w:t xml:space="preserve">Conclusión: dentro de los métodos realmente ejecutables (fijo y proporcional), optimizar la asignación del peso liberado no aporta ningún beneficio a la función que define el rendimiento máximo del fondo. A diferencia del factor de penalización, el número de componentes o el tope de diversificación —que sí mostraron mejoras al dejar que la IA los ajustara—, esta variable en concreto parece indiferente al resultado.</w:t>
      </w:r>
    </w:p>
    <w:p>
      <w:pPr>
        <w:spacing w:after="120" w:before="240"/>
      </w:pPr>
      <w:r>
        <w:rPr>
          <w:b/>
          <w:bCs/>
          <w:color w:val="1F3864"/>
          <w:sz w:val="28"/>
          <w:szCs w:val="28"/>
        </w:rPr>
        <w:t xml:space="preserve">Revisión con espíritu crítico — el criterio de relleno con comodines</w:t>
      </w:r>
    </w:p>
    <w:p>
      <w:pPr>
        <w:spacing w:after="120"/>
      </w:pPr>
      <w:r>
        <w:t xml:space="preserve">Al revisar desde el principio las reglas de selección, se detectó una segunda anomalía de signo, del mismo tipo que la ya corregida en la regla del producto de incrementos ("menos por menos da más"). Cuando hace falta rellenar la cartera con componentes de puntuación 0 ("comodines"), el criterio original los ordenaba por la 2ª derivada (el cociente incremento_hoy / incremento_ayer). Pero dividir entre un incremento negativo invierte el signo del resultado, lo que podía colocar por delante a una caída que se acelera frente a un valor que ya ha girado a positivo — justo lo contrario de lo deseable.</w:t>
      </w:r>
    </w:p>
    <w:p>
      <w:pPr>
        <w:spacing w:after="120"/>
      </w:pPr>
      <w:r>
        <w:t xml:space="preserve">Corrección aplicada: los comodines se ordenan ahora directamente por el incremento de HOY (de mayor a menor), sin usar ningún cociente. Con dos desempates adicionales para garantizar un resultado siempre determinista: 2º, el incremento de ayer (de mayor a menor); 3º, el orden alfabético del ticker. Con esto, un valor que hoy ya haya girado a positivo (aunque cayera ayer) siempre queda por delante de uno que hoy siga cayendo, y entre los que siguen cayendo, se prioriza al que menos ha caído.</w:t>
      </w:r>
    </w:p>
    <w:p>
      <w:pPr>
        <w:spacing w:after="120" w:before="240"/>
      </w:pPr>
      <w:r>
        <w:rPr>
          <w:b/>
          <w:bCs/>
          <w:color w:val="1F3864"/>
          <w:sz w:val="28"/>
          <w:szCs w:val="28"/>
        </w:rPr>
        <w:t xml:space="preserve">¿Y el suavizado EMA (alfa)?</w:t>
      </w:r>
    </w:p>
    <w:p>
      <w:pPr>
        <w:spacing w:after="120"/>
      </w:pPr>
      <w:r>
        <w:t xml:space="preserve">La optimización del factor de suavizado alfa (Opción A: puntuación basada en EMA_hoy × EMA_ayer) no garantiza que mejore el resultado final obtenido. A diferencia del factor de penalización, el número de componentes o el tope de diversificación, cuya optimización sí mostró mejoras claras, el efecto de suavizar la puntuación con memoria de sesiones anteriores no se traduce de forma consistente en una mayor rentabilidad.</w:t>
      </w:r>
    </w:p>
    <w:p>
      <w:pPr>
        <w:spacing w:after="120" w:before="240"/>
      </w:pPr>
      <w:r>
        <w:rPr>
          <w:b/>
          <w:bCs/>
          <w:color w:val="1F3864"/>
          <w:sz w:val="28"/>
          <w:szCs w:val="28"/>
        </w:rPr>
        <w:t xml:space="preserve">¿Y la longitud (amplitud) del backtest?</w:t>
      </w:r>
    </w:p>
    <w:p>
      <w:pPr>
        <w:spacing w:after="120"/>
      </w:pPr>
      <w:r>
        <w:t xml:space="preserve">Los resultados de cambiar la longitud de la ventana del backtest (10, 15, 20, 30, 40 o 60 sesiones) son inciertos: no se observa un patrón claro de que ventanas más largas o más cortas mejoren sistemáticamente la función beneficio.</w:t>
      </w:r>
    </w:p>
    <w:p>
      <w:pPr>
        <w:spacing w:after="120" w:before="240"/>
      </w:pPr>
      <w:r>
        <w:rPr>
          <w:b/>
          <w:bCs/>
          <w:color w:val="1F3864"/>
          <w:sz w:val="28"/>
          <w:szCs w:val="28"/>
        </w:rPr>
        <w:t xml:space="preserve">20 de julio de 2026 — Validación cruzada de precios</w:t>
      </w:r>
    </w:p>
    <w:p>
      <w:pPr>
        <w:spacing w:after="120"/>
      </w:pPr>
      <w:r>
        <w:t xml:space="preserve">Se comparó el precio mostrado por la aplicación (columna "Precio") para IBM, CAT, CVX y TRV con el precio de la misma acción según una fuente externa (buscador de Google) en un momento próximo. Los valores coincidieron con diferencias de solo centésimas de dólar (p. ej. IBM 214,61 frente a 214,64; CAT 862,4 frente a 862,75; CVX 189,88 frente a 189,90; TRV 365,89 frente a 365,77), explicables por el pequeño desfase de segundos entre capturas con el mercado abierto.</w:t>
      </w:r>
    </w:p>
    <w:p>
      <w:pPr>
        <w:spacing w:after="120"/>
      </w:pPr>
      <w:r>
        <w:t xml:space="preserve">Conclusión: esta comprobación cruzada confirma la consistencia de los datos de cotización que usa la aplicación (a través de yahoo-finance2) frente a otra fuente independiente en tiempo real.</w:t>
      </w:r>
    </w:p>
    <w:p>
      <w:pPr>
        <w:spacing w:after="120" w:before="240"/>
      </w:pPr>
      <w:r>
        <w:rPr>
          <w:b/>
          <w:bCs/>
          <w:color w:val="1F3864"/>
          <w:sz w:val="28"/>
          <w:szCs w:val="28"/>
        </w:rPr>
        <w:t xml:space="preserve">23 de julio de 2026 — ¿Aporta valor la selección por precio, volumen o flujo de dinero frente al azar?</w:t>
      </w:r>
    </w:p>
    <w:p>
      <w:pPr>
        <w:spacing w:after="120"/>
      </w:pPr>
      <w:r>
        <w:t xml:space="preserve">Se ha comparado, de forma sistemática, tres criterios de selección de cartera —por precio, por volumen y por flujo de dinero (precio × volumen)— frente a una selección al azar, repitiendo la prueba con distintas duraciones de periodo (de 2 semanas a 3 meses aproximadamente) y varias muestras independientes en cada duración.</w:t>
      </w:r>
    </w:p>
    <w:p>
      <w:pPr>
        <w:spacing w:after="120"/>
      </w:pPr>
      <w:r>
        <w:t xml:space="preserve">Resultado principal: ninguno de los tres criterios bate de forma clara y consistente a la selección al azar. En la mayoría de las pruebas, su rentabilidad se mueve dentro del mismo rango de variación que ya produce simplemente elegir acciones sin ningún criterio. El resultado se mantiene igual tanto si se optimizan al máximo los demás parámetros del modelo como si no.</w:t>
      </w:r>
    </w:p>
    <w:p>
      <w:pPr>
        <w:spacing w:after="120"/>
      </w:pPr>
      <w:r>
        <w:t xml:space="preserve">Qué significa esto: con los datos disponibles (30 valores del Dow Jones, periodos de pocas semanas o meses), estas señales tan simples no muestran evidencia sólida de aportar ventaja real de predicción frente a elegir al azar. Es un hallazgo negativo, pero honesto y con valor — muestra el rigor de contrastar contra un control aleatorio en vez de fiarse solo de si “parece que funciona”.</w:t>
      </w:r>
    </w:p>
    <w:p>
      <w:pPr>
        <w:spacing w:after="120"/>
      </w:pPr>
      <w:r>
        <w:t xml:space="preserve">Matiz importante: con tan pocos datos, los resultados varían bastante de una prueba a otra, así que esto no es una conclusión definitiva y cerrada para siempre — es la fotografía actual, hecha con un método honesto, que puede refinarse con más datos e indicadores en el futuro.</w:t>
      </w:r>
    </w:p>
    <w:p>
      <w:pPr>
        <w:spacing w:after="120" w:before="240"/>
      </w:pPr>
      <w:r>
        <w:rPr>
          <w:b/>
          <w:bCs/>
          <w:color w:val="1F3864"/>
          <w:sz w:val="28"/>
          <w:szCs w:val="28"/>
        </w:rPr>
        <w:t xml:space="preserve">Última semana de julio de 2026 — Selección por criterios fundamentales</w:t>
      </w:r>
    </w:p>
    <w:p>
      <w:pPr>
        <w:spacing w:after="120"/>
      </w:pPr>
      <w:r>
        <w:t xml:space="preserve">Se ha probado la selección por criterios fundamentales que, si bien no podemos conocer los del pasado, podemos suponer que varían poco y que se mantienen durante el período considerado hasta hoy. Se ha generalizado a varios índices bursátiles.</w:t>
      </w:r>
    </w:p>
    <w:p>
      <w:pPr>
        <w:spacing w:after="120" w:before="240"/>
      </w:pPr>
      <w:r>
        <w:rPr>
          <w:b/>
          <w:bCs/>
          <w:color w:val="1F3864"/>
          <w:sz w:val="28"/>
          <w:szCs w:val="28"/>
        </w:rPr>
        <w:t xml:space="preserve">Primera semana de agosto de 2026 — Modelo multifactor y modelo de réplica</w:t>
      </w:r>
    </w:p>
    <w:p>
      <w:pPr>
        <w:spacing w:after="120"/>
      </w:pPr>
      <w:r>
        <w:t xml:space="preserve">Se ha realizado una regresión lineal multifactor. En ningún caso nos separamos claramente de la selección aleatoria. El principio de eficiencia fuerte o débil parece imponerse en los mercados financieros.</w:t>
      </w:r>
    </w:p>
    <w:p>
      <w:pPr>
        <w:spacing w:after="120"/>
      </w:pPr>
      <w:r>
        <w:t xml:space="preserve">Se ha implementado un modelo réplica del índice con el que trabajamos.</w:t>
      </w:r>
    </w:p>
    <w:p>
      <w:pPr>
        <w:spacing w:after="120"/>
      </w:pPr>
      <w:r>
        <w:t xml:space="preserve">Se ha mejorado la interfaz de usuario.</w:t>
      </w:r>
    </w:p>
    <w:p>
      <w:pPr>
        <w:spacing w:after="120"/>
      </w:pPr>
      <w:r>
        <w:t xml:space="preserve">Se están completando las especificaciones y observaciones.</w:t>
      </w:r>
    </w:p>
    <w:p>
      <w:pPr>
        <w:spacing w:after="120" w:before="240"/>
      </w:pPr>
      <w:r>
        <w:rPr>
          <w:b/>
          <w:bCs/>
          <w:color w:val="1F3864"/>
          <w:sz w:val="28"/>
          <w:szCs w:val="28"/>
        </w:rPr>
        <w:t xml:space="preserve">Segunda semana de agosto de 2026 — Correlación de los componentes con el peso en el índice</w:t>
      </w:r>
    </w:p>
    <w:p>
      <w:pPr>
        <w:spacing w:after="120"/>
      </w:pPr>
      <w:r>
        <w:t xml:space="preserve">Se ha construido una herramienta para responder a una pregunta concreta: ¿los valores con más peso en un índice correlacionan más con su movimiento? La respuesta, una vez descontado el efecto mecánico, es que NO: el peso no predice la correlación.</w:t>
      </w:r>
    </w:p>
    <w:p>
      <w:pPr>
        <w:spacing w:after="120"/>
      </w:pPr>
      <w:r>
        <w:t xml:space="preserve">El hallazgo más útil, sin embargo, es metodológico. La correlación bruta de un valor con su índice está fuertemente contaminada por el propio peso de ese valor: un componente que pesa mucho ya "es", en parte, el propio índice, y correlaciona consigo mismo. Para medirlo de verdad hay que restar su contribución al índice y reescalar lo que queda — al hacerlo, la correlación de Goldman Sachs en el Dow Jones cae de 0,71 a 0,51; la de SAP en el DAX, de 0,37 a 0,17; la de ASML en el AEX, de 0,78 a 0,40. Cualquier análisis que use "correlación con el índice" sin esta corrección estaría midiendo, en buena medida, el peso disfrazado de otra cosa.</w:t>
      </w:r>
    </w:p>
    <w:p>
      <w:pPr>
        <w:spacing w:after="120"/>
      </w:pPr>
      <w:r>
        <w:t xml:space="preserve">Otros patrones observados, con ventanas de 180 sesiones y sin explicación cerrada: las tres grandes petroleras europeas (TotalEnergies en el CAC 40, Shell en el AEX, Eni en el MIB) muestran correlación y beta negativas de forma estable en las tres escalas temporales medidas — el mismo sector, en tres mercados distintos, moviéndose en contra de su propio índice. Y varios valores muy grandes (Apple, Microsoft, Unilever) aparecen prácticamente desacoplados de su índice, con correlaciones cercanas a cero.</w:t>
      </w:r>
    </w:p>
    <w:p>
      <w:pPr>
        <w:spacing w:after="120"/>
      </w:pPr>
      <w:r>
        <w:t xml:space="preserve">Sobre la utilidad de estas medidas para un modelo predictivo: correlación y beta son descriptivas, no predictivas — describen cómo se ha movido un valor en el pasado, igual que el momentum o la dispersión que ya se usaban. Añadirlas a un modelo que ya ha fallado con variables del mismo tipo no parece prometedor. Donde sí pueden aportar es como medida de RIESGO (la beta indica cuánto amplifica un valor los movimientos del índice), por ejemplo para diagnosticar la volatilidad de una cartera ya construida, que es una pregunta distinta y con respuesta más alcanzable que predecir quién subirá más.</w:t>
      </w:r>
    </w:p>
    <w:p>
      <w:pPr>
        <w:spacing w:after="120" w:before="240"/>
      </w:pPr>
      <w:r>
        <w:rPr>
          <w:b/>
          <w:bCs/>
          <w:color w:val="1F3864"/>
          <w:sz w:val="28"/>
          <w:szCs w:val="28"/>
        </w:rPr>
        <w:t xml:space="preserve">Segunda semana de agosto de 2026 — Persistencia en el orden relativo</w:t>
      </w:r>
    </w:p>
    <w:p>
      <w:pPr>
        <w:spacing w:after="120"/>
      </w:pPr>
      <w:r>
        <w:t xml:space="preserve">Segunda pregunta de la misma línea: pasado un tiempo, unos valores lo han hecho mejor que otros — ¿los que van arriba en una ventana siguen arriba en la siguiente, o el orden se rebaraja cada vez? Se mide con la correlación de Spearman entre el orden de ventanas consecutivas SIN SOLAPE (si se solaparan, compartirían casi todas sus sesiones y la correlación saldría alta por pura construcción), probando de una vez las seis primeras longitudes de Fibonacci: 1, 2, 3, 5, 8 y 13 sesiones.</w:t>
      </w:r>
    </w:p>
    <w:p>
      <w:pPr>
        <w:spacing w:after="120"/>
      </w:pPr>
      <w:r>
        <w:t xml:space="preserve">Resultado: en la correlación global (Spearman), ningún índice se separa de lo que produce el azar — el orden general se rebaraja. En los extremos (el 10% mejor y peor de cada ventana) la única excepción reseñable es el Nasdaq 100, con coincidencias en cabeza cerca del doble de lo esperado por azar y, lo más relevante, de forma consistente en las seis longitudes y replicada en dos periodos distintos (114 y 244 sesiones). Ninguna medida aislada supera el umbral formal de 2 desviaciones típicas, pero la consistencia del conjunto es más difícil de atribuir a la casualidad que cualquier cifra suelta.</w:t>
      </w:r>
    </w:p>
    <w:p>
      <w:pPr>
        <w:spacing w:after="120"/>
      </w:pPr>
      <w:r>
        <w:t xml:space="preserve">Cautela metodológica aprendida por el camino: al principio, las coincidencias en los extremos solo se comparaban con su valor esperado por azar, sin medir cuánto VARÍAN por azar. Al añadir esa dispersión se comprobó que es muy grande (con datos puramente aleatorios, coincidencias de 0,265 con una dispersión de ±0,489), de modo que diferencias que a simple vista parecían llamativas entran de lleno en lo normal. Sin esa referencia, es fácil leer como hallazgo lo que solo es ruido.</w:t>
      </w:r>
    </w:p>
    <w:p>
      <w:pPr>
        <w:spacing w:after="120"/>
      </w:pPr>
      <w:r>
        <w:t xml:space="preserve">Queda abierto si la persistencia del Nasdaq refleja que "los buenos siguen siendo buenos" o, más probablemente, que unos pocos valores muy volátiles (el bloque de semiconductores e IA, con betas de 2,5 a 3,5) copan los extremos una y otra vez — arriba cuando su sector sube, abajo cuando corrige. La segunda explicación produciría los mismos números sin ser una ventaja aprovechable, y para distinguirlas se ha añadido a la herramienta un recuento de qué valores concretos ocupan los extremos y con qué concentración.</w:t>
      </w:r>
    </w:p>
    <w:p>
      <w:pPr>
        <w:spacing w:after="120" w:before="240"/>
      </w:pPr>
      <w:r>
        <w:rPr>
          <w:b/>
          <w:bCs/>
          <w:color w:val="1F3864"/>
          <w:sz w:val="28"/>
          <w:szCs w:val="28"/>
        </w:rPr>
        <w:t xml:space="preserve">Segunda semana de agosto de 2026 — Clasificación con red neuronal, y balance de todo el proyecto</w:t>
      </w:r>
    </w:p>
    <w:p>
      <w:pPr>
        <w:spacing w:after="120"/>
      </w:pPr>
      <w:r>
        <w:t xml:space="preserve">Último enfoque probado, y el mejor planteado de todos: en vez de pedirle al modelo que prediga CUÁNTO subirá un valor (donde habían fallado los anteriores), se le pide algo más burdo y por tanto más aprendible — clasificar cada valor en dos grupos, por encima o por debajo de la mediana del índice en las cinco sesiones siguientes. La mediana, y no "superar al índice", se eligió a propósito: con ella los dos grupos están siempre equilibrados por construcción, la línea base es exactamente 50%, y no hay forma de acertar diciendo siempre lo mismo.</w:t>
      </w:r>
    </w:p>
    <w:p>
      <w:pPr>
        <w:spacing w:after="120"/>
      </w:pPr>
      <w:r>
        <w:t xml:space="preserve">El método de validación es el más exigente de los usados en el proyecto: el histórico se parte en dos tramos separados en el tiempo (nunca al azar, que permitiría aprender de un martes para predecir el lunes anterior); se entrena en el primero, el modelo se congela, y en el segundo solo se le enseñan las variables de entrada. Entre ambos tramos se deja un hueco de cinco sesiones, porque la etiqueta de cada ejemplo depende de las cinco siguientes: sin ese margen, los últimos ejemplos de entrenamiento tendrían etiquetas que dependen de sesiones ya pertenecientes a la prueba.</w:t>
      </w:r>
    </w:p>
    <w:p>
      <w:pPr>
        <w:spacing w:after="120"/>
      </w:pPr>
      <w:r>
        <w:t xml:space="preserve">Resultados: CAC 40, 50,9% de aciertos; Nasdaq 100 (el índice más numeroso, con 11.615 ejemplos de entrenamiento), 49,4%. En ambos casos, indistinguible del 50% que daría clasificar al azar. Más revelador todavía que el porcentaje global: los aciertos entre los casos de MAYOR CONFIANZA del modelo son prácticamente idénticos a los del conjunto (51,3% y 49,8%). Si un modelo tuviera señal real, debería acertar más donde está seguro que donde duda; que acierte igual en ambos casos significa que su confianza no informa de nada. En el Nasdaq, además, los cuatro valores de mayor probabilidad rindieron 0,249% frente al 0,605% de la media de todos los candidatos, y superaron a esa media en exactamente 20 de 40 pasos: la definición de una moneda al aire.</w:t>
      </w:r>
    </w:p>
    <w:p>
      <w:pPr>
        <w:spacing w:after="120" w:before="240"/>
      </w:pPr>
      <w:r>
        <w:rPr>
          <w:b/>
          <w:bCs/>
          <w:color w:val="1F3864"/>
          <w:sz w:val="28"/>
          <w:szCs w:val="28"/>
        </w:rPr>
        <w:t xml:space="preserve">Balance de los cinco enfoques probados</w:t>
      </w:r>
    </w:p>
    <w:p>
      <w:pPr>
        <w:spacing w:after="120"/>
      </w:pPr>
      <w:r>
        <w:t xml:space="preserve">A lo largo del proyecto se han probado cinco familias de métodos: reglas técnicas sobre precio, volumen y flujo de dinero; datos fundamentales; consenso de analistas; regresión ridge multifactor; y una red neuronal de clasificación. Los cinco convergen en el mismo resultado: ninguno muestra una ventaja fiable sobre no aplicar ningún criterio. Y no es que sea difícil construir el clasificador — la misma red alcanza el 99,5% de aciertos en un problema con señal real, comprobado como control. Lo difícil es que exista una señal aprendible en estos datos.</w:t>
      </w:r>
    </w:p>
    <w:p>
      <w:pPr>
        <w:spacing w:after="120"/>
      </w:pPr>
      <w:r>
        <w:t xml:space="preserve">Tiene sentido que así sea: si los movimientos de precio y volumen de unas pocas sesiones permitieran predecir de forma fiable qué valores lo harán mejor la semana siguiente, esa información sería enormemente valiosa y estaría al alcance de cualquiera con un ordenador — miles de profesionales con más datos y más potencia la habrían explotado hasta agotarla, y al hacerlo la habrían eliminado del precio. No encontrarla es, en buena medida, la consecuencia esperable de que otros la buscaran antes.</w:t>
      </w:r>
    </w:p>
    <w:p>
      <w:pPr>
        <w:spacing w:after="120"/>
      </w:pPr>
      <w:r>
        <w:t xml:space="preserve">Conviene, aun así, no cerrar la puerta con más firmeza de la que los datos permiten: estos modelos ven precio, volumen y flujo de unas pocas sesiones, más cuatro variables fundamentales estáticas. No ven noticias, resultados trimestrales, cambios regulatorios ni contexto macroeconómico. Es perfectamente posible que exista señal en información que sencillamente no se está mirando. Lo demostrado es que no está en ESTAS variables, con ESTOS horizontes.</w:t>
      </w:r>
    </w:p>
    <w:p>
      <w:pPr>
        <w:spacing w:after="120"/>
      </w:pPr>
      <w:r>
        <w:t xml:space="preserve">Y queda algo que merece decirse: el resultado de este trabajo no es una aplicación que prediga el mercado — es una aplicación capaz de comprobar honestamente si una idea funciona, incluyendo la parte incómoda de decir que no. Eso es más raro y más valioso de lo que parece.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2026-08-06T07:35:39.241Z</dcterms:created>
  <dcterms:modified xsi:type="dcterms:W3CDTF">2026-08-06T07:35:39.241Z</dcterms:modified>
</cp:coreProperties>
</file>

<file path=docProps/custom.xml><?xml version="1.0" encoding="utf-8"?>
<Properties xmlns="http://schemas.openxmlformats.org/officeDocument/2006/custom-properties" xmlns:vt="http://schemas.openxmlformats.org/officeDocument/2006/docPropsVTypes"/>
</file>