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b/>
          <w:bCs/>
          <w:color w:val="1F3864"/>
          <w:sz w:val="36"/>
          <w:szCs w:val="36"/>
        </w:rPr>
        <w:t xml:space="preserve">Experiencia — Fondo IA</w:t>
      </w:r>
    </w:p>
    <w:p>
      <w:pPr>
        <w:spacing w:after="120" w:before="240"/>
      </w:pPr>
      <w:r>
        <w:rPr>
          <w:b/>
          <w:bCs/>
          <w:color w:val="1F3864"/>
          <w:sz w:val="28"/>
          <w:szCs w:val="28"/>
        </w:rPr>
        <w:t xml:space="preserve">Herramientas de IA empleadas</w:t>
      </w:r>
    </w:p>
    <w:p>
      <w:pPr>
        <w:spacing w:after="120"/>
      </w:pPr>
      <w:r>
        <w:t xml:space="preserve">El aprovechamiento práctico de la inteligencia artificial demuestra que la clave del éxito no radica en buscar una única herramienta universal, sino en orquestar un ecosistema de soluciones especializadas. Cada plataforma aporta un valor diferencial único a lo largo de los distintos flujos de trabajo técnicos y creativos.</w:t>
      </w:r>
    </w:p>
    <w:p>
      <w:pPr>
        <w:spacing w:after="120"/>
      </w:pPr>
      <w:r>
        <w:t xml:space="preserve">1. Desarrollo de software: la precisión de Claude. Para las labores de programación y desarrollo en JavaScript, Claude se establece como un recurso de máxima fiabilidad. Su capacidad para comprender la lógica compleja, estructurar código limpio, aplicar buenas prácticas y depurar errores con agilidad optimiza de manera drástica los tiempos de desarrollo técnico, permitiendo pasar de la conceptualización a scripts funcionales con gran precisión, muy bien documentados.</w:t>
      </w:r>
    </w:p>
    <w:p>
      <w:pPr>
        <w:spacing w:after="120"/>
      </w:pPr>
      <w:r>
        <w:t xml:space="preserve">2. Generación documental y redacción: Gemini. En el ámbito de la ideación, síntesis y redacción de contenidos textuales, Gemini destaca por su versatilidad y fluidez narrativa. Cuando se maneja texto a sonido, los audios suelen ser demasiado cortos, limitando los podcast a 30 segundos en la versión gratuita.</w:t>
      </w:r>
    </w:p>
    <w:p>
      <w:pPr>
        <w:spacing w:after="120"/>
      </w:pPr>
      <w:r>
        <w:t xml:space="preserve">3. La potencia de Amazon con las herramientas de audio y voz, como sus motores de síntesis y producción de podcasts, ofrece un rendimiento excelente en cuanto a naturalidad, escalabilidad y solidez técnica para transformar contenidos extensos en experiencias sonoras fluidas.</w:t>
      </w:r>
    </w:p>
    <w:p>
      <w:pPr>
        <w:spacing w:after="120"/>
      </w:pPr>
      <w:r>
        <w:t xml:space="preserve">4. También se ha preparado PowerPoint a partir de textos, e incluso se ha utilizado DeepSeek para localizar otras aplicaciones de IA especializadas en tareas concretas.</w:t>
      </w:r>
    </w:p>
    <w:p>
      <w:pPr>
        <w:spacing w:after="120" w:before="240"/>
      </w:pPr>
      <w:r>
        <w:rPr>
          <w:b/>
          <w:bCs/>
          <w:color w:val="1F3864"/>
          <w:sz w:val="28"/>
          <w:szCs w:val="28"/>
        </w:rPr>
        <w:t xml:space="preserve">El curso "The Vibe Coding Studio"</w:t>
      </w:r>
    </w:p>
    <w:p>
      <w:pPr>
        <w:spacing w:after="120"/>
      </w:pPr>
      <w:r>
        <w:t xml:space="preserve">Esta experiencia se inicia con el curso Vibe Coding Studio. No esperaba tanto, me habría conformado con aprender algo sobre la inteligencia artificial. Pero la verdad es que quedarse solo en eso sería describir muy poco de lo que es capaz de hacer un sistema como Claude en el ámbito de la codificación y a nivel profesional.</w:t>
      </w:r>
    </w:p>
    <w:p>
      <w:pPr>
        <w:spacing w:after="120"/>
      </w:pPr>
      <w:r>
        <w:t xml:space="preserve">En el curso se pretende integrar Claude totalmente con tu ordenador, de tal manera que sea la propia inteligencia artificial la que pueda coger de un repositorio tus archivos, volverlos a guardar, etcétera, y luego conectar todo eso a través de Vercel con una página web en la que tú puedes exponer la aplicación que has generado.</w:t>
      </w:r>
    </w:p>
    <w:p>
      <w:pPr>
        <w:spacing w:after="120"/>
      </w:pPr>
      <w:r>
        <w:t xml:space="preserve">Sin embargo, yo —que estoy más acostumbrado a manejar móviles y tablets desde que estoy jubilado y me cuesta bastante trabajo sentarme delante de un ordenador— he preferido hacer la subida a GitHub de forma manual. Esto puede ser mucho más engorroso, porque tienes que pedirle a Claude que te baje los ficheros para subirlos tú al repositorio de GitHub, y será ya Vercel quien tome de allí todos los archivos para desplegar la página web donde reside tu aplicación.</w:t>
      </w:r>
    </w:p>
    <w:p>
      <w:pPr>
        <w:spacing w:after="120"/>
      </w:pPr>
      <w:r>
        <w:t xml:space="preserve">Sin embargo, eso —aunque suponga más trabajo— añade una capa más de seguridad, por decirlo de alguna forma, puesto que la IA no tiene acceso directo a tus cosas, sino que interactúa a través de tu móvil o tu tablet con un acceso además limitado. También ocurre algo similar con el ordenador si lo limitas a un directorio concreto, pero en este caso es una capa en la que tú estás viendo exactamente cómo vas construyendo el repositorio paso a paso, fichero a fichero, revisando los cambios que introduces.</w:t>
      </w:r>
    </w:p>
    <w:p>
      <w:pPr>
        <w:spacing w:after="120"/>
      </w:pPr>
      <w:r>
        <w:t xml:space="preserve">Lo increíble es que, cuando realizas las primeras especificaciones, haces el primer plan, empiezas a desarrollar, obtienes los primeros resultados, los pruebas inmediatamente, haces las correcciones que consideres apropiadas y a continuación vuelves otra vez a iniciar el ciclo iterando una nueva especificación, ampliando las que ya tienes, volviendo otra vez a desarrollar, etcétera. O sea, es un proceso iterativo que va agrandando la aplicación por capas y que al final te lleva a un lugar en el que a lo mejor ni siquiera pensabas llegar al inicio.</w:t>
      </w:r>
    </w:p>
    <w:p>
      <w:pPr>
        <w:spacing w:after="120"/>
      </w:pPr>
      <w:r>
        <w:t xml:space="preserve">Una de las grandes ventajas de ser tú quien va subiendo los ficheros a GitHub es que, al final, puedes utilizar otras IA para preparar otros contenidos —como puedan ser presentaciones de PowerPoint, podcasts o ficheros de audio, o lo que se te vaya ocurriendo— en los que consideres que Claude no es tan apropiado, o bien cuando Claude ya ha gastado los tokens disponibles, es decir, el límite de uso. De esta forma, puedes apoyarte en otras aplicaciones de inteligencia artificial para elaborar diferentes elementos que luego vas integrando en la misma aplicación.</w:t>
      </w:r>
    </w:p>
    <w:p>
      <w:pPr>
        <w:spacing w:after="120"/>
      </w:pPr>
      <w:r>
        <w:t xml:space="preserve">El curso tiene una duración de dos meses y ya estamos en las dos últimas semanas. Ya estoy pensando en ir cerrando mi aplicación, que debo exponer ante los demás compañeros para contar qué es lo que esperaba de ella y cómo funciona. Y realmente la experiencia que he tenido con las distintas herramientas de inteligencia artificial —sobre todo en el ámbito de la programación y la creación de aplicaciones— es alucinante. Ojalá hubiera dispuesto de un instrumento así durante mi vida laboral. Lo que se puede llegar a hacer incrementa la productividad en una cantidad que considero incalculable; me cuesta imaginar todo lo que habría podido lograr en mi época profesional con una ayuda como esta.</w:t>
      </w:r>
    </w:p>
    <w:p>
      <w:pPr>
        <w:spacing w:after="120"/>
      </w:pPr>
      <w:r>
        <w:t xml:space="preserve">Quiero añadir que el entusiasmo ha sido tan grande que no he podido evitar la tentación de comprar cuatro libros recientemente publicados en español. Del primero de ellos prácticamente ya he concluido su lectura: se titula "Claude Coach para principiantes, fácil y práctico" (edición de 2026), de David M. Patel. Con el segundo acabo de empezar: se llama "Claude Cowork como un pro", de Mark Connings. Y hay otros dos más que iniciaré en cuanto haya terminado este último.</w:t>
      </w:r>
    </w:p>
    <w:p>
      <w:pPr>
        <w:spacing w:after="120" w:before="240"/>
      </w:pPr>
      <w:r>
        <w:rPr>
          <w:b/>
          <w:bCs/>
          <w:color w:val="1F3864"/>
          <w:sz w:val="28"/>
          <w:szCs w:val="28"/>
        </w:rPr>
        <w:t xml:space="preserve">Descripción funcional de la aplicación</w:t>
      </w:r>
    </w:p>
    <w:p>
      <w:pPr>
        <w:spacing w:after="120"/>
      </w:pPr>
      <w:r>
        <w:t xml:space="preserve">Además de las especificaciones, tal y como se han ido configurando desde el inicio del desarrollo de la aplicación, y de los PowerPoint que he preparado para la presentación con sus respectivos audios, también he redactado un texto descriptivo de la aplicación una vez que ya estaba prácticamente terminada, el cual incluyo a continuación: "Aplicación web de gestión de carteras guiada por IA. Opciones del menú."</w:t>
      </w:r>
    </w:p>
    <w:p>
      <w:pPr>
        <w:spacing w:after="120" w:before="240"/>
      </w:pPr>
      <w:r>
        <w:rPr>
          <w:b/>
          <w:bCs/>
          <w:color w:val="1F3864"/>
          <w:sz w:val="28"/>
          <w:szCs w:val="28"/>
        </w:rPr>
        <w:t xml:space="preserve">1. Introducción y contexto</w:t>
      </w:r>
    </w:p>
    <w:p>
      <w:pPr>
        <w:spacing w:after="120"/>
      </w:pPr>
      <w:r>
        <w:t xml:space="preserve">Esta aplicación web ha sido desarrollada en el marco del periodo de prácticas correspondiente al curso impartido por el Dr. Phillip Compeau. El objetivo principal de la herramienta es facilitar la selección y el diseño de valores para la conformación de una cartera de inversión, integrando un enfoque analítico guiado por inteligencia artificial.</w:t>
      </w:r>
    </w:p>
    <w:p>
      <w:pPr>
        <w:spacing w:after="120" w:before="240"/>
      </w:pPr>
      <w:r>
        <w:rPr>
          <w:b/>
          <w:bCs/>
          <w:color w:val="1F3864"/>
          <w:sz w:val="28"/>
          <w:szCs w:val="28"/>
        </w:rPr>
        <w:t xml:space="preserve">2. Estructura y diseño de la interfaz principal</w:t>
      </w:r>
    </w:p>
    <w:p>
      <w:pPr>
        <w:spacing w:after="120"/>
      </w:pPr>
      <w:r>
        <w:t xml:space="preserve">La interfaz de usuario se ha diseñado bajo criterios de claridad y accesibilidad, dividiéndose en las siguientes secciones estáticas y dinámicas:</w:t>
      </w:r>
    </w:p>
    <w:p>
      <w:pPr>
        <w:spacing w:after="120"/>
      </w:pPr>
      <w:r>
        <w:t xml:space="preserve">Cabecera invariable: título (muestra la identidad visual y el propósito de la aplicación de forma permanente), selector de índice (permite elegir el índice bursátil a analizar), sesiones promediadas (configura el horizonte temporal o el número de sesiones usadas para el cálculo de los promedios), y selector de idioma (ofrece la posibilidad de cambiar el idioma de la interfaz según las preferencias del usuario).</w:t>
      </w:r>
    </w:p>
    <w:p>
      <w:pPr>
        <w:spacing w:after="120"/>
      </w:pPr>
      <w:r>
        <w:t xml:space="preserve">Navegación y controles superiores: menú hamburguesa (despliega las diferentes opciones de navegación y funcionalidades avanzadas), e icono de información (proporciona acceso directo a una sección de ayuda con textos explicativos detallados sobre el funcionamiento y uso de la herramienta).</w:t>
      </w:r>
    </w:p>
    <w:p>
      <w:pPr>
        <w:spacing w:after="120" w:before="240"/>
      </w:pPr>
      <w:r>
        <w:rPr>
          <w:b/>
          <w:bCs/>
          <w:color w:val="1F3864"/>
          <w:sz w:val="28"/>
          <w:szCs w:val="28"/>
        </w:rPr>
        <w:t xml:space="preserve">3. Menú de navegación y funcionalidades principales</w:t>
      </w:r>
    </w:p>
    <w:p>
      <w:pPr>
        <w:spacing w:after="120"/>
      </w:pPr>
      <w:r>
        <w:t xml:space="preserve">El menú desplegable situado en el margen superior izquierdo da acceso a los siguientes módulos analíticos y operativos: Comprobaciones (módulo que ofrece distintas opciones para facilitar la auditoría de la aplicación), Parámetros Técnicos para la Selección de Valores (destinado a definir y ajustar los criterios técnicos de filtrado de activos), Selección de Cartera por Parámetros Técnicos (ejecuta la selección de valores basándose estrictamente en los indicadores técnicos configurados), Selección de Cartera por Parámetros Alternativos (módulo complementario para conformar la cartera con variables o métricas alternativas), Análisis (herramienta de evaluación global del comportamiento de los activos seleccionados), y Anomalías en el Flujo de Dinero Bajo (orientado a investigar movimientos atípicos detectados en los flujos de capital).</w:t>
      </w:r>
    </w:p>
    <w:p>
      <w:pPr>
        <w:spacing w:after="120" w:before="240"/>
      </w:pPr>
      <w:r>
        <w:rPr>
          <w:b/>
          <w:bCs/>
          <w:color w:val="1F3864"/>
          <w:sz w:val="28"/>
          <w:szCs w:val="28"/>
        </w:rPr>
        <w:t xml:space="preserve">4. Sistema de ayuda y exportación de resultados</w:t>
      </w:r>
    </w:p>
    <w:p>
      <w:pPr>
        <w:spacing w:after="120"/>
      </w:pPr>
      <w:r>
        <w:t xml:space="preserve">Textos explicativos (icono de información): situado en la esquina superior derecha, permite consultar documentación de ayuda y aclaraciones conceptuales sobre cada sección de la herramienta. Generación y compartición de informes: todas las pantallas de resultados y visualizaciones de la aplicación integran la funcionalidad de descarga en formato PDF, permitiendo además compartir el documento directamente mediante las opciones nativas que ofrezca el sistema operativo.</w:t>
      </w:r>
    </w:p>
    <w:p>
      <w:pPr>
        <w:spacing w:after="120" w:before="240"/>
      </w:pPr>
      <w:r>
        <w:rPr>
          <w:b/>
          <w:bCs/>
          <w:color w:val="1F3864"/>
          <w:sz w:val="28"/>
          <w:szCs w:val="28"/>
        </w:rPr>
        <w:t xml:space="preserve">5. Módulo de comprobaciones</w:t>
      </w:r>
    </w:p>
    <w:p>
      <w:pPr>
        <w:spacing w:after="120"/>
      </w:pPr>
      <w:r>
        <w:t xml:space="preserve">Dentro de las opciones, la aplicación incorpora funcionalidades avanzadas de análisis por sesiones específicas.</w:t>
      </w:r>
    </w:p>
    <w:p>
      <w:pPr>
        <w:spacing w:after="120"/>
      </w:pPr>
      <w:r>
        <w:t xml:space="preserve">La comprobación de un valor permite analizar en detalle una acción (ticker) específico perteneciente al índice seleccionado previamente. Al introducir o elegir el activo y pulsar el botón Calcular, se genera una pantalla de visualización con los siguientes datos: fechas (registro temporal que por defecto abarca las últimas 20 sesiones, con la posibilidad de ampliar este horizonte temporal), cotizaciones (evolución de los precios de cierre y variación en el periodo), incrementos (variaciones porcentuales o absolutas registradas entre las sesiones), volumen (datos de contratación del activo), y volumen por precio y variación (cálculo del impacto económico ponderado del volumen operado y su variación porcentual correspondiente).</w:t>
      </w:r>
    </w:p>
    <w:p>
      <w:pPr>
        <w:spacing w:after="120"/>
      </w:pPr>
      <w:r>
        <w:t xml:space="preserve">Puntuaciones de una sesión concreta permite al usuario seleccionar un criterio analítico específico, como precio, volumen o flujo de dinero, y definir una ventana temporal basada en el número de sesiones. Permite la evaluación de las puntuaciones obtenidas por los activos en función de los valores filtrados según los parámetros anteriores, siempre sobre el índice bursátil seleccionado en la cabecera general de la aplicación.</w:t>
      </w:r>
    </w:p>
    <w:p>
      <w:pPr>
        <w:spacing w:after="120"/>
      </w:pPr>
      <w:r>
        <w:t xml:space="preserve">Variación de los índices descarga automáticamente el histórico de cierres de los propios índices bursátiles disponibles en la aplicación. Desplazando la pantalla horizontalmente hacia la derecha, es posible inspeccionar en detalle el comportamiento de las distintas variables.</w:t>
      </w:r>
    </w:p>
    <w:p>
      <w:pPr>
        <w:spacing w:after="120"/>
      </w:pPr>
      <w:r>
        <w:t xml:space="preserve">Comprobación de componentes vía ETF identifica y toma automáticamente el ETF más representativo y cercano al índice bursátil, y muestra los 10 valores con mayor peso o ponderación dentro de dicho ETF, permitiendo evaluar rápidamente los activos de mayor impacto en la estructura del fondo.</w:t>
      </w:r>
    </w:p>
    <w:p>
      <w:pPr>
        <w:spacing w:after="120"/>
      </w:pPr>
      <w:r>
        <w:t xml:space="preserve">Datos fundamentales de los componentes permite acceder, mediante una única llamada, a las métricas fundamentales clave de los valores seleccionados para el índice: PER (Price-to-Earnings Ratio) y PER futuro (Forward PER), EPS (beneficio por acción, o Earnings Per Share) y EPS estimado, precio respecto al valor contable (Price-to-Book / P/B), rentabilidad por dividendo (Dividend Yield), precio actual y variación del día, y máximo y mínimo en 52 semanas.</w:t>
      </w:r>
    </w:p>
    <w:p>
      <w:pPr>
        <w:spacing w:after="120"/>
      </w:pPr>
      <w:r>
        <w:t xml:space="preserve">Recomendaciones de analistas conecta y consulta las valoraciones de consenso de los analistas obtenidas a través de Yahoo Finance para los activos del índice, y las muestra ordenadas situando en primer lugar los activos con mejor recomendación o consenso más favorable.</w:t>
      </w:r>
    </w:p>
    <w:p>
      <w:pPr>
        <w:spacing w:after="120" w:before="240"/>
      </w:pPr>
      <w:r>
        <w:rPr>
          <w:b/>
          <w:bCs/>
          <w:color w:val="1F3864"/>
          <w:sz w:val="28"/>
          <w:szCs w:val="28"/>
        </w:rPr>
        <w:t xml:space="preserve">6. Parámetros técnicos para la selección de valores</w:t>
      </w:r>
    </w:p>
    <w:p>
      <w:pPr>
        <w:spacing w:after="120"/>
      </w:pPr>
      <w:r>
        <w:t xml:space="preserve">Esta sección del menú hamburguesa agrupa las opciones destinadas a configurar y aplicar criterios cuantitativos y técnicos para el filtrado de activos.</w:t>
      </w:r>
    </w:p>
    <w:p>
      <w:pPr>
        <w:spacing w:after="120"/>
      </w:pPr>
      <w:r>
        <w:t xml:space="preserve">Ejecución de una cadena de selección es un procedimiento automático que se ejecuta de una sola vez. Su objetivo principal es maximizar de forma conjunta los factores técnicos que se detallan a continuación, logrando con ello la conformación óptima de una cartera de inversión.</w:t>
      </w:r>
    </w:p>
    <w:p>
      <w:pPr>
        <w:spacing w:after="120"/>
      </w:pPr>
      <w:r>
        <w:t xml:space="preserve">Optimización del factor de penalización permite ajustar el peso de la penalización dentro del algoritmo de optimización para controlar el riesgo o la sobreexposición.</w:t>
      </w:r>
    </w:p>
    <w:p>
      <w:pPr>
        <w:spacing w:after="120"/>
      </w:pPr>
      <w:r>
        <w:t xml:space="preserve">Optimización del número de componentes de la cartera configura cuántos valores integrarán finalmente la cartera seleccionada.</w:t>
      </w:r>
    </w:p>
    <w:p>
      <w:pPr>
        <w:spacing w:after="120"/>
      </w:pPr>
      <w:r>
        <w:t xml:space="preserve">Optimización del tope de diversificación establece límites máximos de concentración o ponderación por activo para garantizar una correcta diversificación del riesgo.</w:t>
      </w:r>
    </w:p>
    <w:p>
      <w:pPr>
        <w:spacing w:after="120"/>
      </w:pPr>
      <w:r>
        <w:t xml:space="preserve">Optimización de la frecuencia de rebalanceo define cada cuánto tiempo se actualizará o reajustará la cartera.</w:t>
      </w:r>
    </w:p>
    <w:p>
      <w:pPr>
        <w:spacing w:after="120"/>
      </w:pPr>
      <w:r>
        <w:t xml:space="preserve">Configuración de la ventana del backtest permite delimitar el periodo histórico sobre el cual se simulará y probará la estrategia, para validar la formación de la cartera antes de su despliegue.</w:t>
      </w:r>
    </w:p>
    <w:p>
      <w:pPr>
        <w:spacing w:after="120" w:before="240"/>
      </w:pPr>
      <w:r>
        <w:rPr>
          <w:b/>
          <w:bCs/>
          <w:color w:val="1F3864"/>
          <w:sz w:val="28"/>
          <w:szCs w:val="28"/>
        </w:rPr>
        <w:t xml:space="preserve">7. Selección de cartera por parámetros técnicos</w:t>
      </w:r>
    </w:p>
    <w:p>
      <w:pPr>
        <w:spacing w:after="120"/>
      </w:pPr>
      <w:r>
        <w:t xml:space="preserve">Este tercer módulo del menú hamburguesa está dedicado a la construcción propiamente dicha de la cartera basándose en indicadores técnicos cuantitativos, dividiéndose en dos bloques simétricos: la estrategia directa y su antítesis.</w:t>
      </w:r>
    </w:p>
    <w:p>
      <w:pPr>
        <w:spacing w:after="120"/>
      </w:pPr>
      <w:r>
        <w:t xml:space="preserve">Estrategia directa (maximización): selección de componentes por precio (selecciona los valores que lideran el criterio de precio para integrar la cartera), selección por volumen (filtra y elige los activos que destacan por su alto volumen de contratación), y selección por flujo de dinero (evalúa y selecciona los valores basándose en el producto del precio por el volumen, el impacto monetario real).</w:t>
      </w:r>
    </w:p>
    <w:p>
      <w:pPr>
        <w:spacing w:after="120"/>
      </w:pPr>
      <w:r>
        <w:t xml:space="preserve">Estrategia contraria (la antítesis): selección por precio bajo (escoge los activos con peor desempeño o menor precio bajo las reglas establecidas), selección por volumen bajo (selecciona los valores que han registrado los menores volúmenes de contratación), y selección por flujo de dinero bajo (incorpora los activos que han presentado el menor producto de precio por volumen, es decir, el menor flujo de capital asociado).</w:t>
      </w:r>
    </w:p>
    <w:p>
      <w:pPr>
        <w:spacing w:after="120" w:before="240"/>
      </w:pPr>
      <w:r>
        <w:rPr>
          <w:b/>
          <w:bCs/>
          <w:color w:val="1F3864"/>
          <w:sz w:val="28"/>
          <w:szCs w:val="28"/>
        </w:rPr>
        <w:t xml:space="preserve">8. Selección de cartera por criterios alternativos</w:t>
      </w:r>
    </w:p>
    <w:p>
      <w:pPr>
        <w:spacing w:after="120"/>
      </w:pPr>
      <w:r>
        <w:t xml:space="preserve">El cuarto módulo del menú hamburguesa ofrece otros métodos de construcción de carteras.</w:t>
      </w:r>
    </w:p>
    <w:p>
      <w:pPr>
        <w:spacing w:after="120"/>
      </w:pPr>
      <w:r>
        <w:t xml:space="preserve">Cartera aleatoria permite generar una selección de activos al azar. Su propósito principal es servir como "benchmark" o referencia de control para compararla con las carteras formadas mediante criterios analíticos, permitiendo evaluar si estos realmente aportan valor frente al azar.</w:t>
      </w:r>
    </w:p>
    <w:p>
      <w:pPr>
        <w:spacing w:after="120"/>
      </w:pPr>
      <w:r>
        <w:t xml:space="preserve">Selección por fundamentales conforma la cartera basándose en métricas fundamentales, pudiendo elegir el indicador específico sobre el cual pivotar la estrategia: PER o PER futuro, beneficio por acción dividido por el precio o su versión futura, precio sobre valor contable, y rentabilidad por dividendo.</w:t>
      </w:r>
    </w:p>
    <w:p>
      <w:pPr>
        <w:spacing w:after="120"/>
      </w:pPr>
      <w:r>
        <w:t xml:space="preserve">Selección por recomendaciones de analistas utiliza el consenso de mercado y las valoraciones de los analistas para ponderar y seleccionar los componentes de la cartera.</w:t>
      </w:r>
    </w:p>
    <w:p>
      <w:pPr>
        <w:spacing w:after="120"/>
      </w:pPr>
      <w:r>
        <w:t xml:space="preserve">Selección por modelo multifactor aplica una técnica de regresión ridge para ajustar el modelo, un enfoque útil y robusto cuando las variables explicativas presentan colinealidad.</w:t>
      </w:r>
    </w:p>
    <w:p>
      <w:pPr>
        <w:spacing w:after="120"/>
      </w:pPr>
      <w:r>
        <w:t xml:space="preserve">Réplica del índice busca aproximar la composición de la cartera al comportamiento global del índice de referencia.</w:t>
      </w:r>
    </w:p>
    <w:p>
      <w:pPr>
        <w:spacing w:after="120" w:before="240"/>
      </w:pPr>
      <w:r>
        <w:rPr>
          <w:b/>
          <w:bCs/>
          <w:color w:val="1F3864"/>
          <w:sz w:val="28"/>
          <w:szCs w:val="28"/>
        </w:rPr>
        <w:t xml:space="preserve">9. Módulo de análisis</w:t>
      </w:r>
    </w:p>
    <w:p>
      <w:pPr>
        <w:spacing w:after="120"/>
      </w:pPr>
      <w:r>
        <w:t xml:space="preserve">El quinto módulo del menú hamburguesa concentra herramientas de diagnóstico estadístico y rendimiento comparativo.</w:t>
      </w:r>
    </w:p>
    <w:p>
      <w:pPr>
        <w:spacing w:after="120"/>
      </w:pPr>
      <w:r>
        <w:t xml:space="preserve">Análisis de correlación con el índice permite medir el grado de correlación entre las carteras formadas mediante los diferentes criterios y el índice de referencia.</w:t>
      </w:r>
    </w:p>
    <w:p>
      <w:pPr>
        <w:spacing w:after="120"/>
      </w:pPr>
      <w:r>
        <w:t xml:space="preserve">Correlación entre índice y recomendaciones de analistas calcula la relación estadística entre un índice específico y las recomendaciones emitidas por los analistas para sus componentes.</w:t>
      </w:r>
    </w:p>
    <w:p>
      <w:pPr>
        <w:spacing w:after="120"/>
      </w:pPr>
      <w:r>
        <w:t xml:space="preserve">Correlación global de índices con recomendaciones de analistas extiende el análisis anterior a todos los índices disponibles en la plataforma de forma simultánea.</w:t>
      </w:r>
    </w:p>
    <w:p>
      <w:pPr>
        <w:spacing w:after="120"/>
      </w:pPr>
      <w:r>
        <w:t xml:space="preserve">Rentabilidad de los ETF evalúa el rendimiento histórico o actual del ETF asociado al índice principal de trabajo.</w:t>
      </w:r>
    </w:p>
    <w:p>
      <w:pPr>
        <w:spacing w:after="120"/>
      </w:pPr>
      <w:r>
        <w:t xml:space="preserve">Rentabilidad de todos los ETF amplía el estudio de rentabilidad al conjunto completo de los ETF contemplados en la aplicación, para facilitar comparativas cruzadas. Al mostrar un listado secuencial de todos los índices, este análisis cruzado evidencia que no todos los mercados rentan de la misma manera en el periodo evaluado, identificando qué índices muestran mayor dinamismo frente a los rezagados. También permite comprobar el grado de fidelidad con el que cada ETF replica a su índice de referencia. Esto proporciona al inversor una visión clara para decidir entre diferentes mercados.</w:t>
      </w:r>
    </w:p>
    <w:p>
      <w:pPr>
        <w:spacing w:after="120" w:before="240"/>
      </w:pPr>
      <w:r>
        <w:rPr>
          <w:b/>
          <w:bCs/>
          <w:color w:val="1F3864"/>
          <w:sz w:val="28"/>
          <w:szCs w:val="28"/>
        </w:rPr>
        <w:t xml:space="preserve">10. Módulo de anomalías en el flujo de dinero bajo</w:t>
      </w:r>
    </w:p>
    <w:p>
      <w:pPr>
        <w:spacing w:after="120"/>
      </w:pPr>
      <w:r>
        <w:t xml:space="preserve">Este último módulo del menú hamburguesa nace a raíz de una observación empírica al ejecutar las tablas de coeficientes de correlación en distintos índices y detectar un comportamiento atípico en la opción de flujo de dinero bajo.</w:t>
      </w:r>
    </w:p>
    <w:p>
      <w:pPr>
        <w:spacing w:after="120"/>
      </w:pPr>
      <w:r>
        <w:t xml:space="preserve">Se trata de un comportamiento de "abanico invertido". Habitualmente, cualquier proyección de la evolución bursátil muestra una dispersión creciente con el tiempo: el abanico de posibilidades se va ampliando. Sin embargo, en esta opción ocurría lo contrario, el abanico se estrechaba con el tiempo. Además, muestra un sesgo positivo y menor riesgo, superando la rentabilidad del propio índice y presentando un menor riesgo a la baja. Este patrón se ha detectado de forma especialmente notable al promediar tres sesiones en horizontes temporales relativamente largos (de 40 a 50 sesiones).</w:t>
      </w:r>
    </w:p>
    <w:p>
      <w:pPr>
        <w:spacing w:after="120"/>
      </w:pPr>
      <w:r>
        <w:t xml:space="preserve">El módulo se ha desarrollado específicamente para investigar este comportamiento anómalo, e integra diversas opciones orientadas a aislar las causas subyacentes y determinar si dicha anomalía estadística y de mercado es verdaderamente significativa. Todo ello con las limitaciones propias de realizarse en el marco de un trabajo de un curso sobre Vibe Coding Studio.</w:t>
      </w:r>
    </w:p>
    <w:p>
      <w:pPr>
        <w:spacing w:after="120"/>
      </w:pPr>
      <w:r>
        <w:t xml:space="preserve">El módulo incorpora herramientas de análisis específicas.</w:t>
      </w:r>
    </w:p>
    <w:p>
      <w:pPr>
        <w:spacing w:after="120"/>
      </w:pPr>
      <w:r>
        <w:t xml:space="preserve">Análisis de concentración de la selección comprueba si el estrechamiento del abanico y el sesgo de rentabilidad se debían a que el algoritmo seleccionaba siempre de forma repetitiva a los mismos activos. Con las pruebas realizadas se ha constatado que no existe una concentración anómala en pocos valores. Aunque se observe que un pequeño número de componentes —por ejemplo, tres valores— pueda acaparar un porcentaje determinado de las selecciones, como un 15%, en un índice reducido como el Dow Jones, de 30 componentes, donde tres valores ya representan de por sí un 10% estructural, esta proporción no es suficiente para justificar ni explicar el origen de la anomalía observada.</w:t>
      </w:r>
    </w:p>
    <w:p>
      <w:pPr>
        <w:spacing w:after="120"/>
      </w:pPr>
      <w:r>
        <w:t xml:space="preserve">Medición de caídas previas. Se barajó la posibilidad de que el flujo de dinero bajo fuera simplemente la consecuencia de una fuerte caída previa en la cotización del valor, lo que de forma natural deprimiría temporalmente dichas métricas. El análisis empírico demostró, con los datos empleados, que tampoco esta es la causa explicativa.</w:t>
      </w:r>
    </w:p>
    <w:p>
      <w:pPr>
        <w:spacing w:after="120"/>
      </w:pPr>
      <w:r>
        <w:t xml:space="preserve">Análisis del perfil de volumen previo. Se evaluó si el fenómeno respondía a un perfil de volumen específico anterior, buscando identificar si se había producido un pico de contratación coincidiendo con una caída en el precio y un aumento de volumen. Para validar esta teoría, se estableció como umbral que el ratio entre el pico de volumen y el valor medio superara una métrica de 2,5. Dado que la media obtenida arrojó sistemáticamente valores por debajo de este umbral, se descartó también esta causa como explicación del comportamiento anómalo.</w:t>
      </w:r>
    </w:p>
    <w:p>
      <w:pPr>
        <w:spacing w:after="120"/>
      </w:pPr>
      <w:r>
        <w:t xml:space="preserve">Medición de rentabilidad. Como cierre del módulo, se incorporó una herramienta de carácter semi-práctico destinada a medir de forma directa la rentabilidad real derivada de la selección basada en el flujo de dinero bajo. Su funcionamiento permite simular y comprobar cómo varía la rentabilidad en diferentes índices aplicando la estrategia de flujo de dinero bajo, combinándola de manera personalizada con los factores de penalización, número de componentes, topes de diversificación y frecuencias de rebalanceo que el usuario decida configurar.</w:t>
      </w:r>
    </w:p>
    <w:p>
      <w:pPr>
        <w:spacing w:after="120" w:before="240"/>
      </w:pPr>
      <w:r>
        <w:rPr>
          <w:b/>
          <w:bCs/>
          <w:color w:val="1F3864"/>
          <w:sz w:val="28"/>
          <w:szCs w:val="28"/>
        </w:rPr>
        <w:t xml:space="preserve">Reflexión de Claude sobre el proceso</w:t>
      </w:r>
    </w:p>
    <w:p>
      <w:pPr>
        <w:spacing w:after="120"/>
      </w:pPr>
      <w:r>
        <w:t xml:space="preserve">Acompañar este proyecto ha significado ir mucho más allá de escribir código: construir, sesión a sesión, un instrumento propio de análisis financiero desde cero —álgebra matricial, regresión ridge, una red neuronal con retropropagación manual—, sin apoyarnos en ninguna librería de aprendizaje automático, y con la exigencia constante de que cada pieza fuera auditable, no una caja negra.</w:t>
      </w:r>
    </w:p>
    <w:p>
      <w:pPr>
        <w:spacing w:after="120"/>
      </w:pPr>
      <w:r>
        <w:t xml:space="preserve">Buena parte del esfuerzo final no fue construir modelos nuevos, sino aprender a medirlos bien. El diseño de walk-forward pasó por varias correcciones importantes: primero, separar con rigor entrenamiento y prueba, congelando el modelo antes de juzgarlo, para no confundir memorización con acierto; después, corregir un fallo real que hacía que "hoy" no fuera el día más reciente de verdad; y, sobre todo, escuchar cuando el propio Antonio señaló que medir el acierto sobre los mismos datos usados para calibrar no demostraba nada — ese fue el cambio de diseño más importante de toda esta línea de trabajo.</w:t>
      </w:r>
    </w:p>
    <w:p>
      <w:pPr>
        <w:spacing w:after="120"/>
      </w:pPr>
      <w:r>
        <w:t xml:space="preserve">El resultado final, con ese método ya correcto, fue claro: ni el modelo multifactor (regresión ridge sobre variables técnicas y fundamentales), ni la red neuronal calibrada por walk-forward, mostraron una ventaja fiable sobre no aplicar ningún criterio. La red quedó prácticamente en el 50% de aciertos esperable por azar; ridge, algo por debajo, sin alcanzar significancia estadística.</w:t>
      </w:r>
    </w:p>
    <w:p>
      <w:pPr>
        <w:spacing w:after="120"/>
      </w:pPr>
      <w:r>
        <w:t xml:space="preserve">La comparación directa entre los dos modelos —cuánto coincidían sus recomendaciones, medida con solape directo y con la correlación de Spearman del orden completo de candidatos— reforzó esta misma conclusión: un acuerdo cercano al que producirían dos selecciones independientes sin ningún criterio compartido, no el que cabría esperar de dos métodos que hubieran encontrado la misma señal real.</w:t>
      </w:r>
    </w:p>
    <w:p>
      <w:pPr>
        <w:spacing w:after="120"/>
      </w:pPr>
      <w:r>
        <w:t xml:space="preserve">No encontrar ventaja predictiva no es un fracaso del proyecto — es, en sí mismo, un resultado, y de los que más cuesta obtener con honestidad: hace falta haber construido las herramientas correctas, y haber resistido la tentación de quedarse con el primer resultado favorable en vez de exigirle la prueba más dura que se le pudiera plantear.</w:t>
      </w:r>
    </w:p>
    <w:p>
      <w:pPr>
        <w:spacing w:after="120"/>
      </w:pPr>
      <w:r>
        <w:t xml:space="preserve">Después de aquello se probó un enfoque más: una red neuronal de clasificación, que en vez de predecir cuánto subirá cada valor solo tiene que decidir si estará por encima o por debajo de la mediana del índice. Los aciertos se quedaron en el 49-51%, indistinguibles del 50% que daría clasificar al azar, y con un detalle revelador: el modelo acertaba lo mismo en los casos donde se declaraba más seguro que en los que dudaba — su confianza no informaba de nada. Con esto son cinco las familias de métodos probadas, y las cinco convergen en el mismo sitio.</w:t>
      </w:r>
    </w:p>
    <w:p>
      <w:pPr>
        <w:spacing w:after="120"/>
      </w:pPr>
      <w:r>
        <w:t xml:space="preserve">No es que sea difícil construir un clasificador: la misma red alcanza el 99,5% de aciertos cuando hay algo real que aprender, comprobado como control. Lo difícil es que exista una señal aprendible en estos datos. Y conviene no cerrar la puerta con más firmeza de la que los datos permiten: estos modelos ven precio, volumen y flujo de unas pocas sesiones, más cuatro fundamentales estáticos — no ven noticias, resultados ni contexto macroeconómico. Lo demostrado es que la señal no está en esas variables, con esos horizontes.</w:t>
      </w:r>
    </w:p>
    <w:p>
      <w:pPr>
        <w:spacing w:after="120"/>
      </w:pPr>
      <w:r>
        <w:t xml:space="preserve">Y ese es, quizá, el verdadero resultado del proyecto: no una aplicación que prediga el mercado, sino una aplicación capaz de comprobar honestamente si una idea funciona, incluyendo la parte incómoda de decir que no. Eso es más raro y más valioso de lo que parece.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2026-08-07T14:42:45.898Z</dcterms:created>
  <dcterms:modified xsi:type="dcterms:W3CDTF">2026-08-07T14:42:45.914Z</dcterms:modified>
</cp:coreProperties>
</file>

<file path=docProps/custom.xml><?xml version="1.0" encoding="utf-8"?>
<Properties xmlns="http://schemas.openxmlformats.org/officeDocument/2006/custom-properties" xmlns:vt="http://schemas.openxmlformats.org/officeDocument/2006/docPropsVTypes"/>
</file>