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54" w:rsidRDefault="003C39AC" w:rsidP="00084754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Pracovní list 5-</w:t>
      </w:r>
      <w:r w:rsidRPr="003C39AC">
        <w:rPr>
          <w:b/>
          <w:sz w:val="28"/>
          <w:szCs w:val="28"/>
          <w:highlight w:val="yellow"/>
        </w:rPr>
        <w:t>Ovoce u nás a ve světě</w:t>
      </w:r>
    </w:p>
    <w:p w:rsidR="00084754" w:rsidRPr="00CC7915" w:rsidRDefault="00084754" w:rsidP="00084754">
      <w:pPr>
        <w:rPr>
          <w:sz w:val="28"/>
          <w:szCs w:val="28"/>
        </w:rPr>
      </w:pPr>
      <w:r w:rsidRPr="00CC7915">
        <w:rPr>
          <w:sz w:val="28"/>
          <w:szCs w:val="28"/>
        </w:rPr>
        <w:t>Členové skupiny:………………………………………………………………………………………………………………</w:t>
      </w:r>
    </w:p>
    <w:p w:rsidR="0031400F" w:rsidRDefault="00084754" w:rsidP="00084754">
      <w:pPr>
        <w:rPr>
          <w:sz w:val="28"/>
          <w:szCs w:val="28"/>
        </w:rPr>
      </w:pPr>
      <w:r w:rsidRPr="00CC7915">
        <w:rPr>
          <w:sz w:val="28"/>
          <w:szCs w:val="28"/>
        </w:rPr>
        <w:t>………………………………………………………………………………………………………………………………………..</w:t>
      </w:r>
    </w:p>
    <w:p w:rsidR="00084754" w:rsidRPr="00F6224C" w:rsidRDefault="00084754" w:rsidP="00084754">
      <w:pPr>
        <w:spacing w:line="360" w:lineRule="auto"/>
        <w:jc w:val="both"/>
        <w:rPr>
          <w:sz w:val="26"/>
          <w:szCs w:val="26"/>
        </w:rPr>
      </w:pPr>
      <w:r w:rsidRPr="00F6224C">
        <w:rPr>
          <w:sz w:val="26"/>
          <w:szCs w:val="26"/>
        </w:rPr>
        <w:t>Zapište do tabulky v abecedním pořadí názvy všech zemí, z nichž pochází naše ovoce, a v atlase najděte jejich rozlohu a počet obyvatelstva. Rozlohu zaokrouhlete na statisíce km², počet obyvatel zaokrouhlete na miliony. Očíslujte v pořadí od největšího.</w:t>
      </w:r>
    </w:p>
    <w:p w:rsidR="00084754" w:rsidRDefault="00084754" w:rsidP="00084754">
      <w:pPr>
        <w:rPr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63"/>
        <w:gridCol w:w="2682"/>
        <w:gridCol w:w="850"/>
        <w:gridCol w:w="2163"/>
        <w:gridCol w:w="851"/>
      </w:tblGrid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Země</w:t>
            </w:r>
          </w:p>
        </w:tc>
        <w:tc>
          <w:tcPr>
            <w:tcW w:w="2682" w:type="dxa"/>
          </w:tcPr>
          <w:p w:rsidR="00084754" w:rsidRDefault="00084754" w:rsidP="002005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Rozloha v km²</w:t>
            </w:r>
          </w:p>
        </w:tc>
        <w:tc>
          <w:tcPr>
            <w:tcW w:w="850" w:type="dxa"/>
          </w:tcPr>
          <w:p w:rsidR="00084754" w:rsidRDefault="00084754" w:rsidP="002005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Pořadí</w:t>
            </w:r>
          </w:p>
        </w:tc>
        <w:tc>
          <w:tcPr>
            <w:tcW w:w="2163" w:type="dxa"/>
          </w:tcPr>
          <w:p w:rsidR="00084754" w:rsidRDefault="00084754" w:rsidP="002005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Počet obyvatel</w:t>
            </w:r>
          </w:p>
        </w:tc>
        <w:tc>
          <w:tcPr>
            <w:tcW w:w="851" w:type="dxa"/>
          </w:tcPr>
          <w:p w:rsidR="00084754" w:rsidRDefault="00084754" w:rsidP="002005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Pořadí</w:t>
            </w: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  <w:tr w:rsidR="00084754" w:rsidTr="002005CF">
        <w:trPr>
          <w:trHeight w:hRule="exact" w:val="510"/>
          <w:jc w:val="center"/>
        </w:trPr>
        <w:tc>
          <w:tcPr>
            <w:tcW w:w="28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682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2163" w:type="dxa"/>
          </w:tcPr>
          <w:p w:rsidR="00084754" w:rsidRDefault="00084754" w:rsidP="002005CF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84754" w:rsidRDefault="00084754" w:rsidP="002005CF">
            <w:pPr>
              <w:rPr>
                <w:sz w:val="24"/>
              </w:rPr>
            </w:pPr>
          </w:p>
        </w:tc>
      </w:tr>
    </w:tbl>
    <w:p w:rsidR="00084754" w:rsidRDefault="00084754" w:rsidP="00084754">
      <w:pPr>
        <w:spacing w:line="360" w:lineRule="auto"/>
        <w:jc w:val="both"/>
        <w:rPr>
          <w:sz w:val="26"/>
        </w:rPr>
      </w:pP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  <w:r>
        <w:rPr>
          <w:sz w:val="26"/>
        </w:rPr>
        <w:t xml:space="preserve">Nyní údaje z tabulky doplňte do následujícího grafu (kromě Brazílie): </w:t>
      </w: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  <w:r>
        <w:rPr>
          <w:sz w:val="26"/>
        </w:rPr>
        <w:t>Graf č. 1 – rozloha v km</w:t>
      </w:r>
      <w:r>
        <w:rPr>
          <w:sz w:val="24"/>
        </w:rPr>
        <w:t>²</w:t>
      </w:r>
    </w:p>
    <w:p w:rsidR="00084754" w:rsidRDefault="00084754" w:rsidP="00084754">
      <w:r>
        <w:rPr>
          <w:noProof/>
          <w:sz w:val="26"/>
          <w:lang w:eastAsia="cs-CZ"/>
        </w:rPr>
        <w:drawing>
          <wp:inline distT="0" distB="0" distL="0" distR="0">
            <wp:extent cx="6499860" cy="3192780"/>
            <wp:effectExtent l="0" t="0" r="0" b="0"/>
            <wp:docPr id="1" name="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  <w:r>
        <w:rPr>
          <w:sz w:val="26"/>
        </w:rPr>
        <w:lastRenderedPageBreak/>
        <w:t>Údaje z tabulky týkající se počtu obyvatel doplňte do grafu č. 2:</w:t>
      </w: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  <w:r>
        <w:rPr>
          <w:sz w:val="26"/>
        </w:rPr>
        <w:t>Graf č. 2 – počet obyvatel v milionech</w:t>
      </w:r>
    </w:p>
    <w:p w:rsidR="00084754" w:rsidRDefault="00084754" w:rsidP="00084754">
      <w:pPr>
        <w:spacing w:line="360" w:lineRule="auto"/>
        <w:ind w:left="708"/>
        <w:jc w:val="both"/>
        <w:rPr>
          <w:sz w:val="26"/>
        </w:rPr>
      </w:pPr>
      <w:r>
        <w:rPr>
          <w:noProof/>
          <w:sz w:val="26"/>
          <w:lang w:eastAsia="cs-CZ"/>
        </w:rPr>
        <w:drawing>
          <wp:inline distT="0" distB="0" distL="0" distR="0">
            <wp:extent cx="6126480" cy="3909060"/>
            <wp:effectExtent l="0" t="0" r="0" b="0"/>
            <wp:docPr id="6" name="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4754" w:rsidRDefault="00084754" w:rsidP="00084754">
      <w:pPr>
        <w:spacing w:line="360" w:lineRule="auto"/>
        <w:jc w:val="both"/>
        <w:rPr>
          <w:sz w:val="26"/>
        </w:rPr>
      </w:pPr>
    </w:p>
    <w:p w:rsidR="00084754" w:rsidRDefault="00084754" w:rsidP="00084754"/>
    <w:sectPr w:rsidR="00084754" w:rsidSect="00084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4754"/>
    <w:rsid w:val="00084754"/>
    <w:rsid w:val="0031400F"/>
    <w:rsid w:val="003B39CA"/>
    <w:rsid w:val="003C39AC"/>
    <w:rsid w:val="00534B3C"/>
    <w:rsid w:val="00682FC2"/>
    <w:rsid w:val="00694C49"/>
    <w:rsid w:val="00F7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47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8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4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st_aplikac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st_aplikac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autoTitleDeleted val="1"/>
    <c:view3D>
      <c:rotX val="7"/>
      <c:hPercent val="47"/>
      <c:rotY val="8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sideWall>
    <c:backWall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5579450418160156E-2"/>
          <c:y val="4.6913580246913632E-2"/>
          <c:w val="0.89127837514934283"/>
          <c:h val="0.83950617283950613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Východ</c:v>
                </c:pt>
              </c:strCache>
            </c:strRef>
          </c:tx>
          <c:spPr>
            <a:solidFill>
              <a:srgbClr val="9999FF"/>
            </a:solidFill>
            <a:ln w="12708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6"/>
                <c:pt idx="0">
                  <c:v>Ekvádor</c:v>
                </c:pt>
                <c:pt idx="1">
                  <c:v>…</c:v>
                </c:pt>
                <c:pt idx="2">
                  <c:v>Madagaskar</c:v>
                </c:pt>
                <c:pt idx="3">
                  <c:v>…</c:v>
                </c:pt>
                <c:pt idx="4">
                  <c:v>…</c:v>
                </c:pt>
                <c:pt idx="5">
                  <c:v>…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 formatCode="#,##0">
                  <c:v>300000</c:v>
                </c:pt>
                <c:pt idx="2" formatCode="#,##0">
                  <c:v>500000</c:v>
                </c:pt>
              </c:numCache>
            </c:numRef>
          </c:val>
        </c:ser>
        <c:gapDepth val="0"/>
        <c:shape val="box"/>
        <c:axId val="99681792"/>
        <c:axId val="99683328"/>
        <c:axId val="0"/>
      </c:bar3DChart>
      <c:catAx>
        <c:axId val="99681792"/>
        <c:scaling>
          <c:orientation val="minMax"/>
        </c:scaling>
        <c:axPos val="b"/>
        <c:numFmt formatCode="General" sourceLinked="1"/>
        <c:tickLblPos val="low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99683328"/>
        <c:crosses val="autoZero"/>
        <c:auto val="1"/>
        <c:lblAlgn val="ctr"/>
        <c:lblOffset val="100"/>
        <c:tickLblSkip val="1"/>
        <c:tickMarkSkip val="1"/>
      </c:catAx>
      <c:valAx>
        <c:axId val="99683328"/>
        <c:scaling>
          <c:orientation val="minMax"/>
        </c:scaling>
        <c:axPos val="l"/>
        <c:majorGridlines>
          <c:spPr>
            <a:ln w="3177">
              <a:solidFill>
                <a:srgbClr val="000000"/>
              </a:solidFill>
              <a:prstDash val="solid"/>
            </a:ln>
          </c:spPr>
        </c:majorGridlines>
        <c:numFmt formatCode="#,##0" sourceLinked="1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99681792"/>
        <c:crosses val="autoZero"/>
        <c:crossBetween val="between"/>
      </c:valAx>
      <c:spPr>
        <a:noFill/>
        <a:ln w="25415">
          <a:noFill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426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cs-CZ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autoTitleDeleted val="1"/>
    <c:view3D>
      <c:hPercent val="63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4.8162230671736424E-2"/>
          <c:y val="3.2128514056224897E-2"/>
          <c:w val="0.91128010139416959"/>
          <c:h val="0.87148594377510025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712">
              <a:solidFill>
                <a:srgbClr val="000000"/>
              </a:solidFill>
              <a:prstDash val="solid"/>
            </a:ln>
          </c:spPr>
          <c:cat>
            <c:strRef>
              <c:f>Sheet1!$B$1:$H$1</c:f>
              <c:strCache>
                <c:ptCount val="7"/>
                <c:pt idx="0">
                  <c:v>Brazílie</c:v>
                </c:pt>
                <c:pt idx="1">
                  <c:v>…</c:v>
                </c:pt>
                <c:pt idx="2">
                  <c:v>…</c:v>
                </c:pt>
                <c:pt idx="3">
                  <c:v>…</c:v>
                </c:pt>
                <c:pt idx="4">
                  <c:v>…</c:v>
                </c:pt>
                <c:pt idx="5">
                  <c:v>Řecko </c:v>
                </c:pt>
                <c:pt idx="6">
                  <c:v>…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169</c:v>
                </c:pt>
                <c:pt idx="5">
                  <c:v>11</c:v>
                </c:pt>
              </c:numCache>
            </c:numRef>
          </c:val>
        </c:ser>
        <c:gapDepth val="0"/>
        <c:shape val="box"/>
        <c:axId val="99736192"/>
        <c:axId val="99778944"/>
        <c:axId val="0"/>
      </c:bar3DChart>
      <c:catAx>
        <c:axId val="99736192"/>
        <c:scaling>
          <c:orientation val="minMax"/>
        </c:scaling>
        <c:axPos val="b"/>
        <c:numFmt formatCode="General" sourceLinked="1"/>
        <c:tickLblPos val="low"/>
        <c:spPr>
          <a:ln w="31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99778944"/>
        <c:crosses val="autoZero"/>
        <c:auto val="1"/>
        <c:lblAlgn val="ctr"/>
        <c:lblOffset val="100"/>
        <c:tickLblSkip val="1"/>
        <c:tickMarkSkip val="1"/>
      </c:catAx>
      <c:valAx>
        <c:axId val="99778944"/>
        <c:scaling>
          <c:orientation val="minMax"/>
        </c:scaling>
        <c:axPos val="l"/>
        <c:majorGridlines>
          <c:spPr>
            <a:ln w="317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99736192"/>
        <c:crosses val="autoZero"/>
        <c:crossBetween val="between"/>
        <c:majorUnit val="10"/>
      </c:valAx>
      <c:spPr>
        <a:noFill/>
        <a:ln w="25425">
          <a:noFill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752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cs-CZ"/>
    </a:p>
  </c:txPr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605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</dc:creator>
  <cp:lastModifiedBy>Jarmila</cp:lastModifiedBy>
  <cp:revision>5</cp:revision>
  <dcterms:created xsi:type="dcterms:W3CDTF">2018-09-19T16:42:00Z</dcterms:created>
  <dcterms:modified xsi:type="dcterms:W3CDTF">2018-10-03T13:29:00Z</dcterms:modified>
</cp:coreProperties>
</file>