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LiquidCrystal Library - Hello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Demonstrates the use a 16x2 LCD display.  The LiquidCrystal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library works with all LCD displays that are compatible with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Hitachi HD44780 driver. There are many of them out there, and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can usually tell them by the 16-pin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This sketch prints "Hello World!" to the LCD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and shows the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The circuit: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LCD RS pin to digital pin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LCD Enable pin to digital pin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LCD D4 pin to digital pin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LCD D5 pin to digital pin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LCD D6 pin to digital pin 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LCD D7 pin to digital pin 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LCD R/W pin to ground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LCD VSS pin to ground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LCD VCC pin to 5V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10K resistor: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ends to +5V and ground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wiper to LCD VO pin (pin 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Library originally added 18 Apr 2008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by David A. Mellis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library modified 5 Jul 2009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by Limor Fried (http://www.ladyada.net)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example added 9 Jul 2009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by Tom Igoe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modified 22 Nov 2010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by Tom Igoe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This example code is in the public domain.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http://www.arduino.cc/en/Tutorial/LiquidCrystal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include the library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LiquidCrystal lcd(7, 8, 9, 10, 11, 12);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set up the LCD's number of columns and rows: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Print a message to the LCD.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lcd.print("Hello, World!");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 set the cursor to column 0, line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(note: line 1 is the second row, since counting begins with 0):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 print the number of seconds since reset: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lcd.print(millis() / 1000);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