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8ECB" w14:textId="1A2D5506" w:rsidR="002D23D4" w:rsidRPr="00F44808" w:rsidRDefault="002D23D4" w:rsidP="002D23D4">
      <w:pPr>
        <w:pStyle w:val="TtuloApartado1sinnivel"/>
        <w:jc w:val="both"/>
        <w:rPr>
          <w:rFonts w:cs="Calibri"/>
        </w:rPr>
      </w:pPr>
      <w:r w:rsidRPr="00F44808">
        <w:rPr>
          <w:rFonts w:cs="Calibri"/>
        </w:rPr>
        <w:t>Actividad</w:t>
      </w:r>
      <w:r w:rsidR="00CB749C">
        <w:rPr>
          <w:rFonts w:cs="Calibri"/>
        </w:rPr>
        <w:t xml:space="preserve"> </w:t>
      </w:r>
      <w:r w:rsidR="00B07B59">
        <w:rPr>
          <w:rFonts w:cs="Calibri"/>
        </w:rPr>
        <w:t>2</w:t>
      </w:r>
      <w:r w:rsidRPr="00F44808">
        <w:rPr>
          <w:rFonts w:cs="Calibri"/>
        </w:rPr>
        <w:t xml:space="preserve">: </w:t>
      </w:r>
      <w:r w:rsidR="00B07B59">
        <w:rPr>
          <w:rFonts w:cs="Calibri"/>
        </w:rPr>
        <w:t>Aprendizaje no supervisado en series temporales</w:t>
      </w:r>
      <w:r w:rsidR="00F339C4">
        <w:rPr>
          <w:rFonts w:cs="Calibri"/>
        </w:rPr>
        <w:t xml:space="preserve">: </w:t>
      </w:r>
      <w:r w:rsidR="00B07B59">
        <w:rPr>
          <w:rFonts w:cs="Calibri"/>
        </w:rPr>
        <w:t>clubes de convergencia</w:t>
      </w:r>
      <w:r w:rsidR="00155ED8">
        <w:rPr>
          <w:rFonts w:cs="Calibri"/>
        </w:rPr>
        <w:t>.</w:t>
      </w:r>
    </w:p>
    <w:p w14:paraId="6B8FC70D" w14:textId="77777777" w:rsidR="002D23D4" w:rsidRPr="00F44808" w:rsidRDefault="002D23D4" w:rsidP="002D23D4">
      <w:pPr>
        <w:rPr>
          <w:rFonts w:cs="Calibri"/>
        </w:rPr>
      </w:pPr>
    </w:p>
    <w:p w14:paraId="6537A869" w14:textId="07304F36" w:rsidR="00F6719A" w:rsidRPr="009E58E3" w:rsidRDefault="00B07B59" w:rsidP="00F6719A">
      <w:pPr>
        <w:rPr>
          <w:color w:val="000000" w:themeColor="text1"/>
        </w:rPr>
      </w:pPr>
      <w:r w:rsidRPr="009E58E3">
        <w:rPr>
          <w:color w:val="000000" w:themeColor="text1"/>
        </w:rPr>
        <w:t xml:space="preserve">Juan </w:t>
      </w:r>
      <w:proofErr w:type="spellStart"/>
      <w:r w:rsidRPr="009E58E3">
        <w:rPr>
          <w:color w:val="000000" w:themeColor="text1"/>
        </w:rPr>
        <w:t>Smoke</w:t>
      </w:r>
      <w:proofErr w:type="spellEnd"/>
      <w:r w:rsidR="00AD0ED5" w:rsidRPr="009E58E3">
        <w:rPr>
          <w:color w:val="000000" w:themeColor="text1"/>
        </w:rPr>
        <w:t xml:space="preserve"> es </w:t>
      </w:r>
      <w:r w:rsidR="008D14B5" w:rsidRPr="009E58E3">
        <w:rPr>
          <w:color w:val="000000" w:themeColor="text1"/>
        </w:rPr>
        <w:t xml:space="preserve">Data </w:t>
      </w:r>
      <w:proofErr w:type="spellStart"/>
      <w:r w:rsidR="008D14B5" w:rsidRPr="009E58E3">
        <w:rPr>
          <w:color w:val="000000" w:themeColor="text1"/>
        </w:rPr>
        <w:t>Analyst</w:t>
      </w:r>
      <w:proofErr w:type="spellEnd"/>
      <w:r w:rsidR="008D14B5" w:rsidRPr="009E58E3">
        <w:rPr>
          <w:color w:val="000000" w:themeColor="text1"/>
        </w:rPr>
        <w:t xml:space="preserve"> en un grupo </w:t>
      </w:r>
      <w:r w:rsidRPr="009E58E3">
        <w:rPr>
          <w:color w:val="000000" w:themeColor="text1"/>
        </w:rPr>
        <w:t>multinacional que fabrica y vende labores de tabaco en todo el mundo</w:t>
      </w:r>
      <w:r w:rsidR="008D14B5" w:rsidRPr="009E58E3">
        <w:rPr>
          <w:color w:val="000000" w:themeColor="text1"/>
        </w:rPr>
        <w:t xml:space="preserve">. </w:t>
      </w:r>
      <w:r w:rsidR="0067404B" w:rsidRPr="009E58E3">
        <w:rPr>
          <w:color w:val="000000" w:themeColor="text1"/>
        </w:rPr>
        <w:t>Así</w:t>
      </w:r>
      <w:r w:rsidR="008D14B5" w:rsidRPr="009E58E3">
        <w:rPr>
          <w:color w:val="000000" w:themeColor="text1"/>
        </w:rPr>
        <w:t xml:space="preserve">, como primer proyecto de Inteligencia de Negocio, se le ha encomendado el análisis detallado del mercado </w:t>
      </w:r>
      <w:r w:rsidRPr="009E58E3">
        <w:rPr>
          <w:color w:val="000000" w:themeColor="text1"/>
        </w:rPr>
        <w:t>de tabacos</w:t>
      </w:r>
      <w:r w:rsidR="008D14B5" w:rsidRPr="009E58E3">
        <w:rPr>
          <w:color w:val="000000" w:themeColor="text1"/>
        </w:rPr>
        <w:t xml:space="preserve"> español. Para ello, ha recurrido a las estadísticas que publica el </w:t>
      </w:r>
      <w:r w:rsidRPr="009E58E3">
        <w:rPr>
          <w:color w:val="000000" w:themeColor="text1"/>
        </w:rPr>
        <w:t>Comisionado para el Mercado de Tabacos</w:t>
      </w:r>
      <w:r w:rsidR="008D14B5" w:rsidRPr="009E58E3">
        <w:rPr>
          <w:color w:val="000000" w:themeColor="text1"/>
        </w:rPr>
        <w:t xml:space="preserve"> español en cuanto </w:t>
      </w:r>
      <w:r w:rsidR="0067404B" w:rsidRPr="009E58E3">
        <w:rPr>
          <w:color w:val="000000" w:themeColor="text1"/>
        </w:rPr>
        <w:t>a las ventas provinciales de cigarrillos desde enero de 2005 hasta diciembre de 2021</w:t>
      </w:r>
      <w:r w:rsidR="00711F6D" w:rsidRPr="009E58E3">
        <w:rPr>
          <w:color w:val="000000" w:themeColor="text1"/>
        </w:rPr>
        <w:t xml:space="preserve">. En este sentido, </w:t>
      </w:r>
      <w:r w:rsidR="0067404B" w:rsidRPr="009E58E3">
        <w:rPr>
          <w:color w:val="000000" w:themeColor="text1"/>
        </w:rPr>
        <w:t>Juan</w:t>
      </w:r>
      <w:r w:rsidR="00711F6D" w:rsidRPr="009E58E3">
        <w:rPr>
          <w:color w:val="000000" w:themeColor="text1"/>
        </w:rPr>
        <w:t xml:space="preserve"> ha obtenido un </w:t>
      </w:r>
      <w:proofErr w:type="spellStart"/>
      <w:r w:rsidR="00711F6D" w:rsidRPr="009E58E3">
        <w:rPr>
          <w:color w:val="000000" w:themeColor="text1"/>
        </w:rPr>
        <w:t>dataset</w:t>
      </w:r>
      <w:proofErr w:type="spellEnd"/>
      <w:r w:rsidR="00711F6D" w:rsidRPr="009E58E3">
        <w:rPr>
          <w:color w:val="000000" w:themeColor="text1"/>
        </w:rPr>
        <w:t xml:space="preserve"> que contiene las siguientes variables:</w:t>
      </w:r>
    </w:p>
    <w:p w14:paraId="75BB8CE9" w14:textId="77777777" w:rsidR="005A0654" w:rsidRPr="009E58E3" w:rsidRDefault="005A0654" w:rsidP="00F6719A">
      <w:pPr>
        <w:rPr>
          <w:color w:val="000000" w:themeColor="text1"/>
        </w:rPr>
      </w:pPr>
    </w:p>
    <w:p w14:paraId="06912ACA" w14:textId="57282C11" w:rsidR="00711F6D" w:rsidRPr="009E58E3" w:rsidRDefault="006E5DBB" w:rsidP="00F6719A">
      <w:pPr>
        <w:pStyle w:val="Prrafodelista"/>
        <w:numPr>
          <w:ilvl w:val="0"/>
          <w:numId w:val="26"/>
        </w:numPr>
        <w:rPr>
          <w:color w:val="000000" w:themeColor="text1"/>
        </w:rPr>
      </w:pPr>
      <w:r w:rsidRPr="009E58E3">
        <w:rPr>
          <w:color w:val="000000" w:themeColor="text1"/>
        </w:rPr>
        <w:t>Provincias: representa la zona geográfica de la que proviene la observación.</w:t>
      </w:r>
    </w:p>
    <w:p w14:paraId="23010E70" w14:textId="7F933114" w:rsidR="006E5DBB" w:rsidRPr="009E58E3" w:rsidRDefault="006E5DBB" w:rsidP="00F6719A">
      <w:pPr>
        <w:pStyle w:val="Prrafodelista"/>
        <w:numPr>
          <w:ilvl w:val="0"/>
          <w:numId w:val="26"/>
        </w:numPr>
        <w:rPr>
          <w:color w:val="000000" w:themeColor="text1"/>
        </w:rPr>
      </w:pPr>
      <w:proofErr w:type="spellStart"/>
      <w:r w:rsidRPr="009E58E3">
        <w:rPr>
          <w:color w:val="000000" w:themeColor="text1"/>
        </w:rPr>
        <w:t>Year</w:t>
      </w:r>
      <w:proofErr w:type="spellEnd"/>
      <w:r w:rsidRPr="009E58E3">
        <w:rPr>
          <w:color w:val="000000" w:themeColor="text1"/>
        </w:rPr>
        <w:t>: hace referencia al año al que corresponde la observación.</w:t>
      </w:r>
    </w:p>
    <w:p w14:paraId="335BF6CB" w14:textId="62A0C763" w:rsidR="006E5DBB" w:rsidRPr="009E58E3" w:rsidRDefault="006E5DBB" w:rsidP="00F6719A">
      <w:pPr>
        <w:pStyle w:val="Prrafodelista"/>
        <w:numPr>
          <w:ilvl w:val="0"/>
          <w:numId w:val="26"/>
        </w:numPr>
        <w:rPr>
          <w:color w:val="000000" w:themeColor="text1"/>
        </w:rPr>
      </w:pPr>
      <w:r w:rsidRPr="009E58E3">
        <w:rPr>
          <w:color w:val="000000" w:themeColor="text1"/>
        </w:rPr>
        <w:t>Mes: en número (del 1 al 12), representa el mes.</w:t>
      </w:r>
    </w:p>
    <w:p w14:paraId="30C24FD0" w14:textId="24066AF9" w:rsidR="006E5DBB" w:rsidRPr="009E58E3" w:rsidRDefault="006E5DBB" w:rsidP="00F6719A">
      <w:pPr>
        <w:pStyle w:val="Prrafodelista"/>
        <w:numPr>
          <w:ilvl w:val="0"/>
          <w:numId w:val="26"/>
        </w:numPr>
        <w:rPr>
          <w:color w:val="000000" w:themeColor="text1"/>
        </w:rPr>
      </w:pPr>
      <w:r w:rsidRPr="009E58E3">
        <w:rPr>
          <w:color w:val="000000" w:themeColor="text1"/>
        </w:rPr>
        <w:t>Día: hace referencia al día del mes (esta variable es orientativa, se debe utilizar la serie temporal mensual).</w:t>
      </w:r>
    </w:p>
    <w:p w14:paraId="0882A0AD" w14:textId="6C798C4A" w:rsidR="006E5DBB" w:rsidRPr="009E58E3" w:rsidRDefault="006E5DBB" w:rsidP="00F6719A">
      <w:pPr>
        <w:pStyle w:val="Prrafodelista"/>
        <w:numPr>
          <w:ilvl w:val="0"/>
          <w:numId w:val="26"/>
        </w:numPr>
        <w:rPr>
          <w:color w:val="000000" w:themeColor="text1"/>
        </w:rPr>
      </w:pPr>
      <w:r w:rsidRPr="009E58E3">
        <w:rPr>
          <w:color w:val="000000" w:themeColor="text1"/>
        </w:rPr>
        <w:t>Fecha: es la concatenación de las variables anteriores (en formato año-mes-día).</w:t>
      </w:r>
    </w:p>
    <w:p w14:paraId="5D67F9D1" w14:textId="694D9460" w:rsidR="006E5DBB" w:rsidRPr="009E58E3" w:rsidRDefault="006E5DBB" w:rsidP="00F6719A">
      <w:pPr>
        <w:pStyle w:val="Prrafodelista"/>
        <w:numPr>
          <w:ilvl w:val="0"/>
          <w:numId w:val="26"/>
        </w:numPr>
        <w:rPr>
          <w:color w:val="000000" w:themeColor="text1"/>
        </w:rPr>
      </w:pPr>
      <w:r w:rsidRPr="009E58E3">
        <w:rPr>
          <w:color w:val="000000" w:themeColor="text1"/>
        </w:rPr>
        <w:t>Población: representa la población adulta (más de 18 años) total de cada provincia y período.</w:t>
      </w:r>
    </w:p>
    <w:p w14:paraId="5AD2A725" w14:textId="6377A9FE" w:rsidR="006E5DBB" w:rsidRPr="009E58E3" w:rsidRDefault="006E5DBB" w:rsidP="00F6719A">
      <w:pPr>
        <w:pStyle w:val="Prrafodelista"/>
        <w:numPr>
          <w:ilvl w:val="0"/>
          <w:numId w:val="26"/>
        </w:numPr>
        <w:rPr>
          <w:color w:val="000000" w:themeColor="text1"/>
        </w:rPr>
      </w:pPr>
      <w:r w:rsidRPr="009E58E3">
        <w:rPr>
          <w:color w:val="000000" w:themeColor="text1"/>
        </w:rPr>
        <w:t>Unidades: son las ventas en cajetillas de cigarrillos.</w:t>
      </w:r>
    </w:p>
    <w:p w14:paraId="1377D809" w14:textId="6F692C6B" w:rsidR="006E5DBB" w:rsidRPr="009E58E3" w:rsidRDefault="006E5DBB" w:rsidP="00F6719A">
      <w:pPr>
        <w:pStyle w:val="Prrafodelista"/>
        <w:numPr>
          <w:ilvl w:val="0"/>
          <w:numId w:val="26"/>
        </w:numPr>
        <w:rPr>
          <w:color w:val="000000" w:themeColor="text1"/>
        </w:rPr>
      </w:pPr>
      <w:r w:rsidRPr="009E58E3">
        <w:rPr>
          <w:color w:val="000000" w:themeColor="text1"/>
        </w:rPr>
        <w:t>Euros: son las ventas en euros corrientes.</w:t>
      </w:r>
    </w:p>
    <w:p w14:paraId="6E71AED0" w14:textId="0FFA78B7" w:rsidR="006E5DBB" w:rsidRPr="009E58E3" w:rsidRDefault="006E5DBB" w:rsidP="00F6719A">
      <w:pPr>
        <w:pStyle w:val="Prrafodelista"/>
        <w:numPr>
          <w:ilvl w:val="0"/>
          <w:numId w:val="26"/>
        </w:numPr>
        <w:rPr>
          <w:color w:val="000000" w:themeColor="text1"/>
        </w:rPr>
      </w:pPr>
      <w:r w:rsidRPr="009E58E3">
        <w:rPr>
          <w:color w:val="000000" w:themeColor="text1"/>
        </w:rPr>
        <w:t xml:space="preserve">Precio: esta variable es el precio medio de las cajetillas vendidas en cada provincia y período (se calcula como el cociente entre </w:t>
      </w:r>
      <w:proofErr w:type="gramStart"/>
      <w:r w:rsidRPr="009E58E3">
        <w:rPr>
          <w:color w:val="000000" w:themeColor="text1"/>
        </w:rPr>
        <w:t>Euros</w:t>
      </w:r>
      <w:proofErr w:type="gramEnd"/>
      <w:r w:rsidRPr="009E58E3">
        <w:rPr>
          <w:color w:val="000000" w:themeColor="text1"/>
        </w:rPr>
        <w:t xml:space="preserve"> y Unidades).</w:t>
      </w:r>
    </w:p>
    <w:p w14:paraId="6A741120" w14:textId="15E1093B" w:rsidR="006E5DBB" w:rsidRPr="009E58E3" w:rsidRDefault="006E5DBB" w:rsidP="00F6719A">
      <w:pPr>
        <w:pStyle w:val="Prrafodelista"/>
        <w:numPr>
          <w:ilvl w:val="0"/>
          <w:numId w:val="26"/>
        </w:numPr>
        <w:rPr>
          <w:color w:val="000000" w:themeColor="text1"/>
        </w:rPr>
      </w:pPr>
      <w:proofErr w:type="spellStart"/>
      <w:r w:rsidRPr="009E58E3">
        <w:rPr>
          <w:color w:val="000000" w:themeColor="text1"/>
        </w:rPr>
        <w:t>UdesxCapita</w:t>
      </w:r>
      <w:proofErr w:type="spellEnd"/>
      <w:r w:rsidRPr="009E58E3">
        <w:rPr>
          <w:color w:val="000000" w:themeColor="text1"/>
        </w:rPr>
        <w:t xml:space="preserve">: son las ventas per cápita en cada provincia y mes (se calcula como el cociente entre </w:t>
      </w:r>
      <w:proofErr w:type="gramStart"/>
      <w:r w:rsidRPr="009E58E3">
        <w:rPr>
          <w:color w:val="000000" w:themeColor="text1"/>
        </w:rPr>
        <w:t>Euros</w:t>
      </w:r>
      <w:proofErr w:type="gramEnd"/>
      <w:r w:rsidRPr="009E58E3">
        <w:rPr>
          <w:color w:val="000000" w:themeColor="text1"/>
        </w:rPr>
        <w:t xml:space="preserve"> y Población.</w:t>
      </w:r>
    </w:p>
    <w:p w14:paraId="6A6C63A8" w14:textId="77777777" w:rsidR="00F6719A" w:rsidRPr="009E58E3" w:rsidRDefault="00F6719A" w:rsidP="00F6719A">
      <w:pPr>
        <w:pStyle w:val="Prrafodelista"/>
        <w:rPr>
          <w:color w:val="000000" w:themeColor="text1"/>
          <w:highlight w:val="yellow"/>
        </w:rPr>
      </w:pPr>
    </w:p>
    <w:p w14:paraId="14EAEF3A" w14:textId="1D485157" w:rsidR="000B2FA7" w:rsidRPr="009E58E3" w:rsidRDefault="000B2FA7" w:rsidP="00F6719A">
      <w:pPr>
        <w:rPr>
          <w:rFonts w:cs="Calibri"/>
          <w:color w:val="000000" w:themeColor="text1"/>
        </w:rPr>
      </w:pPr>
      <w:r w:rsidRPr="009E58E3">
        <w:rPr>
          <w:rFonts w:cs="Calibri"/>
          <w:color w:val="000000" w:themeColor="text1"/>
        </w:rPr>
        <w:lastRenderedPageBreak/>
        <w:t xml:space="preserve">El </w:t>
      </w:r>
      <w:proofErr w:type="spellStart"/>
      <w:r w:rsidRPr="009E58E3">
        <w:rPr>
          <w:rFonts w:cs="Calibri"/>
          <w:color w:val="000000" w:themeColor="text1"/>
        </w:rPr>
        <w:t>dataset</w:t>
      </w:r>
      <w:proofErr w:type="spellEnd"/>
      <w:r w:rsidRPr="009E58E3">
        <w:rPr>
          <w:rFonts w:cs="Calibri"/>
          <w:color w:val="000000" w:themeColor="text1"/>
        </w:rPr>
        <w:t xml:space="preserve"> se llama </w:t>
      </w:r>
      <w:r w:rsidR="006E5DBB" w:rsidRPr="009E58E3">
        <w:rPr>
          <w:rFonts w:cs="Calibri"/>
          <w:b/>
          <w:bCs/>
          <w:color w:val="000000" w:themeColor="text1"/>
        </w:rPr>
        <w:t>dataset_provincias.csv</w:t>
      </w:r>
      <w:r w:rsidR="006E5DBB" w:rsidRPr="009E58E3">
        <w:rPr>
          <w:rFonts w:cs="Calibri"/>
          <w:color w:val="000000" w:themeColor="text1"/>
        </w:rPr>
        <w:t xml:space="preserve">. </w:t>
      </w:r>
      <w:r w:rsidRPr="009E58E3">
        <w:rPr>
          <w:rFonts w:cs="Calibri"/>
          <w:color w:val="000000" w:themeColor="text1"/>
        </w:rPr>
        <w:t xml:space="preserve">En base a este conjunto de datos, la dirección general </w:t>
      </w:r>
      <w:r w:rsidR="006E5DBB" w:rsidRPr="009E58E3">
        <w:rPr>
          <w:rFonts w:cs="Calibri"/>
          <w:color w:val="000000" w:themeColor="text1"/>
        </w:rPr>
        <w:t>de la tabaquera pide</w:t>
      </w:r>
      <w:r w:rsidRPr="009E58E3">
        <w:rPr>
          <w:rFonts w:cs="Calibri"/>
          <w:color w:val="000000" w:themeColor="text1"/>
        </w:rPr>
        <w:t xml:space="preserve"> a </w:t>
      </w:r>
      <w:r w:rsidR="006E5DBB" w:rsidRPr="009E58E3">
        <w:rPr>
          <w:rFonts w:cs="Calibri"/>
          <w:color w:val="000000" w:themeColor="text1"/>
        </w:rPr>
        <w:t>Juan</w:t>
      </w:r>
      <w:r w:rsidRPr="009E58E3">
        <w:rPr>
          <w:rFonts w:cs="Calibri"/>
          <w:color w:val="000000" w:themeColor="text1"/>
        </w:rPr>
        <w:t>, antes de iniciar el proyecto de Inteligencia de Negocio, que conteste a las siguientes preguntas:</w:t>
      </w:r>
    </w:p>
    <w:p w14:paraId="706B9C42" w14:textId="77777777" w:rsidR="00F6719A" w:rsidRPr="009E58E3" w:rsidRDefault="00F6719A" w:rsidP="00F6719A">
      <w:pPr>
        <w:rPr>
          <w:rFonts w:cs="Calibri"/>
          <w:color w:val="000000" w:themeColor="text1"/>
        </w:rPr>
      </w:pPr>
    </w:p>
    <w:p w14:paraId="62368D00" w14:textId="65469D1E" w:rsidR="00D45A59" w:rsidRPr="0014457D" w:rsidRDefault="00D45A59" w:rsidP="00F6719A">
      <w:pPr>
        <w:pStyle w:val="Prrafodelista"/>
        <w:numPr>
          <w:ilvl w:val="0"/>
          <w:numId w:val="25"/>
        </w:numPr>
        <w:rPr>
          <w:rFonts w:cs="Calibri"/>
          <w:color w:val="000000" w:themeColor="text1"/>
          <w:highlight w:val="yellow"/>
        </w:rPr>
      </w:pPr>
      <w:r w:rsidRPr="0014457D">
        <w:rPr>
          <w:rFonts w:cs="Calibri"/>
          <w:color w:val="000000" w:themeColor="text1"/>
          <w:highlight w:val="yellow"/>
        </w:rPr>
        <w:t>¿</w:t>
      </w:r>
      <w:r w:rsidR="006E5DBB" w:rsidRPr="0014457D">
        <w:rPr>
          <w:rFonts w:cs="Calibri"/>
          <w:color w:val="000000" w:themeColor="text1"/>
          <w:highlight w:val="yellow"/>
        </w:rPr>
        <w:t xml:space="preserve">De qué tipo de variables se compone el </w:t>
      </w:r>
      <w:proofErr w:type="spellStart"/>
      <w:r w:rsidR="006E5DBB" w:rsidRPr="0014457D">
        <w:rPr>
          <w:rFonts w:cs="Calibri"/>
          <w:color w:val="000000" w:themeColor="text1"/>
          <w:highlight w:val="yellow"/>
        </w:rPr>
        <w:t>dataset</w:t>
      </w:r>
      <w:proofErr w:type="spellEnd"/>
      <w:r w:rsidR="003977FF" w:rsidRPr="0014457D">
        <w:rPr>
          <w:rFonts w:cs="Calibri"/>
          <w:color w:val="000000" w:themeColor="text1"/>
          <w:highlight w:val="yellow"/>
        </w:rPr>
        <w:t>?</w:t>
      </w:r>
      <w:r w:rsidR="00642E27" w:rsidRPr="0014457D">
        <w:rPr>
          <w:rFonts w:cs="Calibri"/>
          <w:color w:val="000000" w:themeColor="text1"/>
          <w:highlight w:val="yellow"/>
        </w:rPr>
        <w:t xml:space="preserve"> </w:t>
      </w:r>
      <w:r w:rsidR="000B2FA7" w:rsidRPr="0014457D">
        <w:rPr>
          <w:rFonts w:cs="Calibri"/>
          <w:color w:val="000000" w:themeColor="text1"/>
          <w:highlight w:val="yellow"/>
        </w:rPr>
        <w:t xml:space="preserve">Realiza </w:t>
      </w:r>
      <w:r w:rsidR="006E5DBB" w:rsidRPr="0014457D">
        <w:rPr>
          <w:rFonts w:cs="Calibri"/>
          <w:b/>
          <w:bCs/>
          <w:color w:val="000000" w:themeColor="text1"/>
          <w:highlight w:val="yellow"/>
        </w:rPr>
        <w:t>una representación gráfica</w:t>
      </w:r>
      <w:r w:rsidR="000B2FA7" w:rsidRPr="0014457D">
        <w:rPr>
          <w:rFonts w:cs="Calibri"/>
          <w:color w:val="000000" w:themeColor="text1"/>
          <w:highlight w:val="yellow"/>
        </w:rPr>
        <w:t xml:space="preserve"> </w:t>
      </w:r>
      <w:r w:rsidR="006E5DBB" w:rsidRPr="0014457D">
        <w:rPr>
          <w:rFonts w:cs="Calibri"/>
          <w:color w:val="000000" w:themeColor="text1"/>
          <w:highlight w:val="yellow"/>
        </w:rPr>
        <w:t>que permita conocer el comportamiento</w:t>
      </w:r>
      <w:r w:rsidR="00E7189C" w:rsidRPr="0014457D">
        <w:rPr>
          <w:rFonts w:cs="Calibri"/>
          <w:color w:val="000000" w:themeColor="text1"/>
          <w:highlight w:val="yellow"/>
        </w:rPr>
        <w:t xml:space="preserve"> de la serie temporal</w:t>
      </w:r>
      <w:r w:rsidR="006E5DBB" w:rsidRPr="0014457D">
        <w:rPr>
          <w:rFonts w:cs="Calibri"/>
          <w:color w:val="000000" w:themeColor="text1"/>
          <w:highlight w:val="yellow"/>
        </w:rPr>
        <w:t xml:space="preserve"> de las ventas de cigarrillos</w:t>
      </w:r>
      <w:r w:rsidR="00E7189C" w:rsidRPr="0014457D">
        <w:rPr>
          <w:rFonts w:cs="Calibri"/>
          <w:color w:val="000000" w:themeColor="text1"/>
          <w:highlight w:val="yellow"/>
        </w:rPr>
        <w:t xml:space="preserve"> en cada una de las provincias</w:t>
      </w:r>
      <w:r w:rsidR="000B2FA7" w:rsidRPr="0014457D">
        <w:rPr>
          <w:rFonts w:cs="Calibri"/>
          <w:color w:val="000000" w:themeColor="text1"/>
          <w:highlight w:val="yellow"/>
        </w:rPr>
        <w:t>. Describe brevemente los hallazgos más relevantes tras este conocimiento inicial.</w:t>
      </w:r>
    </w:p>
    <w:p w14:paraId="5231DB47" w14:textId="3376C9F9" w:rsidR="00F253D3" w:rsidRPr="0014457D" w:rsidRDefault="000B2FA7" w:rsidP="00F253D3">
      <w:pPr>
        <w:pStyle w:val="Prrafodelista"/>
        <w:numPr>
          <w:ilvl w:val="0"/>
          <w:numId w:val="25"/>
        </w:numPr>
        <w:rPr>
          <w:rFonts w:cs="Calibri"/>
          <w:color w:val="000000" w:themeColor="text1"/>
          <w:highlight w:val="yellow"/>
        </w:rPr>
      </w:pPr>
      <w:r w:rsidRPr="0014457D">
        <w:rPr>
          <w:rFonts w:cs="Calibri"/>
          <w:color w:val="000000" w:themeColor="text1"/>
          <w:highlight w:val="yellow"/>
        </w:rPr>
        <w:t xml:space="preserve">Haz </w:t>
      </w:r>
      <w:r w:rsidR="00E7189C" w:rsidRPr="0014457D">
        <w:rPr>
          <w:rFonts w:cs="Calibri"/>
          <w:b/>
          <w:bCs/>
          <w:color w:val="000000" w:themeColor="text1"/>
          <w:highlight w:val="yellow"/>
        </w:rPr>
        <w:t xml:space="preserve">una representación gráfica </w:t>
      </w:r>
      <w:r w:rsidR="00E7189C" w:rsidRPr="0014457D">
        <w:rPr>
          <w:rFonts w:cs="Calibri"/>
          <w:color w:val="000000" w:themeColor="text1"/>
          <w:highlight w:val="yellow"/>
        </w:rPr>
        <w:t xml:space="preserve">que permita conocer, de forma ordenada, cuál es el ranking de las </w:t>
      </w:r>
      <w:r w:rsidR="00E7189C" w:rsidRPr="0014457D">
        <w:rPr>
          <w:rFonts w:cs="Calibri"/>
          <w:b/>
          <w:bCs/>
          <w:color w:val="000000" w:themeColor="text1"/>
          <w:highlight w:val="yellow"/>
        </w:rPr>
        <w:t xml:space="preserve">provincias de más a menos venta (toma como referencia la media de </w:t>
      </w:r>
      <w:proofErr w:type="spellStart"/>
      <w:r w:rsidR="00E7189C" w:rsidRPr="0014457D">
        <w:rPr>
          <w:rFonts w:cs="Calibri"/>
          <w:b/>
          <w:bCs/>
          <w:color w:val="000000" w:themeColor="text1"/>
          <w:highlight w:val="yellow"/>
        </w:rPr>
        <w:t>UdesxCapita</w:t>
      </w:r>
      <w:proofErr w:type="spellEnd"/>
      <w:r w:rsidR="00E7189C" w:rsidRPr="0014457D">
        <w:rPr>
          <w:rFonts w:cs="Calibri"/>
          <w:b/>
          <w:bCs/>
          <w:color w:val="000000" w:themeColor="text1"/>
          <w:highlight w:val="yellow"/>
        </w:rPr>
        <w:t>)</w:t>
      </w:r>
      <w:r w:rsidR="00E7189C" w:rsidRPr="0014457D">
        <w:rPr>
          <w:rFonts w:cs="Calibri"/>
          <w:color w:val="000000" w:themeColor="text1"/>
          <w:highlight w:val="yellow"/>
        </w:rPr>
        <w:t>.</w:t>
      </w:r>
    </w:p>
    <w:p w14:paraId="6CE47D36" w14:textId="0DE41917" w:rsidR="00642E27" w:rsidRPr="00CA2553" w:rsidRDefault="00491555" w:rsidP="00F253D3">
      <w:pPr>
        <w:pStyle w:val="Prrafodelista"/>
        <w:numPr>
          <w:ilvl w:val="0"/>
          <w:numId w:val="25"/>
        </w:numPr>
        <w:rPr>
          <w:rFonts w:cs="Calibri"/>
          <w:color w:val="000000" w:themeColor="text1"/>
          <w:highlight w:val="yellow"/>
        </w:rPr>
      </w:pPr>
      <w:r w:rsidRPr="00CA2553">
        <w:rPr>
          <w:rFonts w:cs="Calibri"/>
          <w:color w:val="000000" w:themeColor="text1"/>
          <w:highlight w:val="yellow"/>
        </w:rPr>
        <w:t xml:space="preserve">La dirección general </w:t>
      </w:r>
      <w:r w:rsidR="00E7189C" w:rsidRPr="00CA2553">
        <w:rPr>
          <w:rFonts w:cs="Calibri"/>
          <w:color w:val="000000" w:themeColor="text1"/>
          <w:highlight w:val="yellow"/>
        </w:rPr>
        <w:t>quiere llevar a cabo acciones diferenciadas en las distintas provincias españolas</w:t>
      </w:r>
      <w:r w:rsidR="0001281C" w:rsidRPr="00CA2553">
        <w:rPr>
          <w:rFonts w:cs="Calibri"/>
          <w:color w:val="000000" w:themeColor="text1"/>
          <w:highlight w:val="yellow"/>
        </w:rPr>
        <w:t>.</w:t>
      </w:r>
      <w:r w:rsidR="00E7189C" w:rsidRPr="00CA2553">
        <w:rPr>
          <w:rFonts w:cs="Calibri"/>
          <w:color w:val="000000" w:themeColor="text1"/>
          <w:highlight w:val="yellow"/>
        </w:rPr>
        <w:t xml:space="preserve"> Por ello, se le pregunta, </w:t>
      </w:r>
      <w:r w:rsidR="00E7189C" w:rsidRPr="00CA2553">
        <w:rPr>
          <w:rFonts w:cs="Calibri"/>
          <w:b/>
          <w:bCs/>
          <w:color w:val="000000" w:themeColor="text1"/>
          <w:highlight w:val="yellow"/>
        </w:rPr>
        <w:t>¿podemos decir que existe convergencia absoluta</w:t>
      </w:r>
      <w:r w:rsidR="00E7189C" w:rsidRPr="00CA2553">
        <w:rPr>
          <w:rFonts w:cs="Calibri"/>
          <w:color w:val="000000" w:themeColor="text1"/>
          <w:highlight w:val="yellow"/>
        </w:rPr>
        <w:t xml:space="preserve"> (las ventas por provincia se comportan de manera homogénea) en las ventas de cigarrillos? En base a los resultados alcanzados, ¿qué podemos </w:t>
      </w:r>
      <w:r w:rsidR="009E58E3" w:rsidRPr="00CA2553">
        <w:rPr>
          <w:rFonts w:cs="Calibri"/>
          <w:color w:val="000000" w:themeColor="text1"/>
          <w:highlight w:val="yellow"/>
        </w:rPr>
        <w:t>contestar a la dirección general? ¿Se pueden llevar a cabo acciones diferenciadas?</w:t>
      </w:r>
    </w:p>
    <w:p w14:paraId="60379BFA" w14:textId="035D40A8" w:rsidR="00642E27" w:rsidRPr="00697462" w:rsidRDefault="009E58E3" w:rsidP="00F6719A">
      <w:pPr>
        <w:pStyle w:val="Prrafodelista"/>
        <w:numPr>
          <w:ilvl w:val="0"/>
          <w:numId w:val="25"/>
        </w:numPr>
        <w:rPr>
          <w:rFonts w:cs="Calibri"/>
          <w:color w:val="000000" w:themeColor="text1"/>
          <w:highlight w:val="yellow"/>
        </w:rPr>
      </w:pPr>
      <w:r w:rsidRPr="00697462">
        <w:rPr>
          <w:rFonts w:cs="Calibri"/>
          <w:color w:val="000000" w:themeColor="text1"/>
          <w:highlight w:val="yellow"/>
        </w:rPr>
        <w:t>¿En el caso de que no exista convergencia absoluta, en</w:t>
      </w:r>
      <w:r w:rsidRPr="00697462">
        <w:rPr>
          <w:rFonts w:cs="Calibri"/>
          <w:b/>
          <w:bCs/>
          <w:color w:val="000000" w:themeColor="text1"/>
          <w:highlight w:val="yellow"/>
        </w:rPr>
        <w:t xml:space="preserve"> cuántos grupos (clubes) podemos dividir las provincias</w:t>
      </w:r>
      <w:r w:rsidRPr="00697462">
        <w:rPr>
          <w:rFonts w:cs="Calibri"/>
          <w:color w:val="000000" w:themeColor="text1"/>
          <w:highlight w:val="yellow"/>
        </w:rPr>
        <w:t xml:space="preserve"> en función al comportamiento de las series temporales? ¿Existe algún patrón de comportamiento geográfico y/o relacionado con el ranking elaborado en el segundo apartado?</w:t>
      </w:r>
    </w:p>
    <w:p w14:paraId="67E68792" w14:textId="5B5C0B88" w:rsidR="00642E27" w:rsidRPr="009E58E3" w:rsidRDefault="009E58E3" w:rsidP="00F6719A">
      <w:pPr>
        <w:pStyle w:val="Prrafodelista"/>
        <w:numPr>
          <w:ilvl w:val="0"/>
          <w:numId w:val="25"/>
        </w:numPr>
        <w:rPr>
          <w:rFonts w:cs="Calibri"/>
          <w:color w:val="000000" w:themeColor="text1"/>
        </w:rPr>
      </w:pPr>
      <w:r w:rsidRPr="009E58E3">
        <w:rPr>
          <w:rFonts w:cs="Calibri"/>
          <w:color w:val="000000" w:themeColor="text1"/>
        </w:rPr>
        <w:t xml:space="preserve">Haz una </w:t>
      </w:r>
      <w:r w:rsidRPr="009E58E3">
        <w:rPr>
          <w:rFonts w:cs="Calibri"/>
          <w:b/>
          <w:bCs/>
          <w:color w:val="000000" w:themeColor="text1"/>
        </w:rPr>
        <w:t>predicción a 12 meses para, como mínimo, una provincia de cada club</w:t>
      </w:r>
      <w:r w:rsidR="001201C2" w:rsidRPr="009E58E3">
        <w:rPr>
          <w:rFonts w:cs="Calibri"/>
          <w:color w:val="000000" w:themeColor="text1"/>
        </w:rPr>
        <w:t>, ¿</w:t>
      </w:r>
      <w:r w:rsidRPr="009E58E3">
        <w:rPr>
          <w:rFonts w:cs="Calibri"/>
          <w:color w:val="000000" w:themeColor="text1"/>
        </w:rPr>
        <w:t>Hay clubes cuyas series temporales sean más fácilmente predecibles que otras</w:t>
      </w:r>
      <w:r w:rsidR="001201C2" w:rsidRPr="009E58E3">
        <w:rPr>
          <w:rFonts w:cs="Calibri"/>
          <w:color w:val="000000" w:themeColor="text1"/>
        </w:rPr>
        <w:t>? Justifica tu respuesta.</w:t>
      </w:r>
    </w:p>
    <w:p w14:paraId="4B53C322" w14:textId="77777777" w:rsidR="00DF0DC0" w:rsidRDefault="00DF0DC0" w:rsidP="003D56E0">
      <w:pPr>
        <w:rPr>
          <w:rFonts w:cs="Calibri"/>
        </w:rPr>
      </w:pPr>
    </w:p>
    <w:p w14:paraId="08AAEC28" w14:textId="77777777" w:rsidR="00F44515" w:rsidRDefault="00F44515" w:rsidP="003D56E0">
      <w:pPr>
        <w:rPr>
          <w:rFonts w:cs="Calibri"/>
        </w:rPr>
      </w:pPr>
    </w:p>
    <w:p w14:paraId="4BE0BB4F" w14:textId="77777777" w:rsidR="00F44515" w:rsidRDefault="00F44515" w:rsidP="003D56E0">
      <w:pPr>
        <w:rPr>
          <w:rFonts w:cs="Calibri"/>
        </w:rPr>
      </w:pPr>
    </w:p>
    <w:p w14:paraId="4B483DCC" w14:textId="77777777" w:rsidR="009E58E3" w:rsidRDefault="009E58E3" w:rsidP="003D56E0">
      <w:pPr>
        <w:rPr>
          <w:rFonts w:cs="Calibri"/>
        </w:rPr>
      </w:pPr>
    </w:p>
    <w:p w14:paraId="29B0F89C" w14:textId="77777777" w:rsidR="003D56E0" w:rsidRDefault="003D56E0" w:rsidP="003D56E0"/>
    <w:p w14:paraId="4758E769" w14:textId="77777777" w:rsidR="002D23D4" w:rsidRPr="00E35FFB" w:rsidRDefault="002D23D4" w:rsidP="002D23D4">
      <w:pPr>
        <w:rPr>
          <w:b/>
        </w:rPr>
      </w:pPr>
      <w:r w:rsidRPr="00E35FFB">
        <w:rPr>
          <w:b/>
        </w:rPr>
        <w:lastRenderedPageBreak/>
        <w:t xml:space="preserve">Rúbrica: 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122"/>
        <w:gridCol w:w="3363"/>
        <w:gridCol w:w="1963"/>
        <w:gridCol w:w="762"/>
      </w:tblGrid>
      <w:tr w:rsidR="00642E27" w:rsidRPr="003079CE" w14:paraId="3ADA6888" w14:textId="77777777" w:rsidTr="00642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CAEE32" w14:textId="77777777" w:rsidR="00642E27" w:rsidRPr="003079CE" w:rsidRDefault="00642E27" w:rsidP="000F7333">
            <w:pPr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  <w:r>
              <w:rPr>
                <w:rFonts w:cs="Calibri"/>
                <w:b w:val="0"/>
                <w:bCs w:val="0"/>
                <w:color w:val="FFFFFF" w:themeColor="background1"/>
                <w:sz w:val="18"/>
                <w:szCs w:val="18"/>
              </w:rPr>
              <w:t>Actividad final</w:t>
            </w:r>
          </w:p>
        </w:tc>
        <w:tc>
          <w:tcPr>
            <w:tcW w:w="3363" w:type="dxa"/>
          </w:tcPr>
          <w:p w14:paraId="4820B966" w14:textId="77777777" w:rsidR="00642E27" w:rsidRPr="003079CE" w:rsidRDefault="00642E27" w:rsidP="000F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  <w:r w:rsidRPr="003079CE">
              <w:rPr>
                <w:rFonts w:cs="Calibri"/>
                <w:b w:val="0"/>
                <w:bCs w:val="0"/>
                <w:color w:val="FFFFFF" w:themeColor="background1"/>
                <w:sz w:val="18"/>
                <w:szCs w:val="18"/>
              </w:rPr>
              <w:t>Descripción</w:t>
            </w:r>
          </w:p>
        </w:tc>
        <w:tc>
          <w:tcPr>
            <w:tcW w:w="1963" w:type="dxa"/>
          </w:tcPr>
          <w:p w14:paraId="2A75519A" w14:textId="77777777" w:rsidR="00642E27" w:rsidRPr="003079CE" w:rsidRDefault="00642E27" w:rsidP="000F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  <w:r w:rsidRPr="003079CE">
              <w:rPr>
                <w:rFonts w:cs="Calibri"/>
                <w:b w:val="0"/>
                <w:bCs w:val="0"/>
                <w:color w:val="FFFFFF" w:themeColor="background1"/>
                <w:sz w:val="18"/>
                <w:szCs w:val="18"/>
              </w:rPr>
              <w:t xml:space="preserve">Puntuación máxima  </w:t>
            </w:r>
          </w:p>
          <w:p w14:paraId="71C848B9" w14:textId="77777777" w:rsidR="00642E27" w:rsidRPr="003079CE" w:rsidRDefault="00642E27" w:rsidP="000F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  <w:r w:rsidRPr="003079CE">
              <w:rPr>
                <w:rFonts w:cs="Calibri"/>
                <w:b w:val="0"/>
                <w:bCs w:val="0"/>
                <w:color w:val="FFFFFF" w:themeColor="background1"/>
                <w:sz w:val="18"/>
                <w:szCs w:val="18"/>
              </w:rPr>
              <w:t>(puntos)</w:t>
            </w:r>
          </w:p>
        </w:tc>
        <w:tc>
          <w:tcPr>
            <w:tcW w:w="762" w:type="dxa"/>
          </w:tcPr>
          <w:p w14:paraId="2B9AE1DC" w14:textId="77777777" w:rsidR="00642E27" w:rsidRPr="003079CE" w:rsidRDefault="00642E27" w:rsidP="000F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  <w:r w:rsidRPr="003079CE">
              <w:rPr>
                <w:rFonts w:cs="Calibri"/>
                <w:b w:val="0"/>
                <w:bCs w:val="0"/>
                <w:color w:val="FFFFFF" w:themeColor="background1"/>
                <w:sz w:val="18"/>
                <w:szCs w:val="18"/>
              </w:rPr>
              <w:t>Peso</w:t>
            </w:r>
          </w:p>
          <w:p w14:paraId="6FD78A1D" w14:textId="77777777" w:rsidR="00642E27" w:rsidRPr="003079CE" w:rsidRDefault="00642E27" w:rsidP="000F7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  <w:r w:rsidRPr="003079CE">
              <w:rPr>
                <w:rFonts w:cs="Calibri"/>
                <w:b w:val="0"/>
                <w:bCs w:val="0"/>
                <w:color w:val="FFFFFF" w:themeColor="background1"/>
                <w:sz w:val="18"/>
                <w:szCs w:val="18"/>
              </w:rPr>
              <w:t>%</w:t>
            </w:r>
          </w:p>
        </w:tc>
      </w:tr>
      <w:tr w:rsidR="002D23D4" w:rsidRPr="00CD1440" w14:paraId="71291CD8" w14:textId="77777777" w:rsidTr="00CE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335E7178" w14:textId="6D03DBD3" w:rsidR="002D23D4" w:rsidRPr="003079CE" w:rsidRDefault="002D23D4" w:rsidP="00CE0E39">
            <w:pPr>
              <w:rPr>
                <w:rFonts w:cs="Calibri"/>
                <w:b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36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933DD90" w14:textId="3D833137" w:rsidR="002D23D4" w:rsidRPr="003079CE" w:rsidRDefault="002D23D4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96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9AD6622" w14:textId="0D42249C" w:rsidR="002D23D4" w:rsidRPr="003079CE" w:rsidRDefault="002D23D4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76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2542557" w14:textId="287E384A" w:rsidR="002D23D4" w:rsidRPr="003079CE" w:rsidRDefault="002D23D4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2D23D4" w:rsidRPr="00CD1440" w14:paraId="71896C6A" w14:textId="77777777" w:rsidTr="00CE0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1448B0C" w14:textId="77777777" w:rsidR="002D23D4" w:rsidRPr="00CD1440" w:rsidRDefault="002D23D4" w:rsidP="00CE0E39">
            <w:pPr>
              <w:rPr>
                <w:rFonts w:cs="Calibri"/>
                <w:b w:val="0"/>
                <w:sz w:val="18"/>
                <w:szCs w:val="18"/>
              </w:rPr>
            </w:pPr>
            <w:r w:rsidRPr="00CD1440">
              <w:rPr>
                <w:rFonts w:cs="Calibri"/>
                <w:b w:val="0"/>
                <w:bCs w:val="0"/>
                <w:sz w:val="18"/>
                <w:szCs w:val="18"/>
              </w:rPr>
              <w:t>Criterio 1</w:t>
            </w:r>
          </w:p>
        </w:tc>
        <w:tc>
          <w:tcPr>
            <w:tcW w:w="336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D973096" w14:textId="679CCDB3" w:rsidR="002D23D4" w:rsidRPr="00CD1440" w:rsidRDefault="00642E27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Es capaz de </w:t>
            </w:r>
            <w:r w:rsidR="009E58E3">
              <w:rPr>
                <w:rFonts w:cs="Calibri"/>
                <w:sz w:val="18"/>
                <w:szCs w:val="18"/>
              </w:rPr>
              <w:t>describir hallazgos en cuanto a las diferencias entre las ventas de las distintas provincias</w:t>
            </w:r>
            <w:r>
              <w:rPr>
                <w:rFonts w:cs="Calibri"/>
                <w:sz w:val="18"/>
                <w:szCs w:val="18"/>
              </w:rPr>
              <w:t xml:space="preserve">. </w:t>
            </w:r>
          </w:p>
        </w:tc>
        <w:tc>
          <w:tcPr>
            <w:tcW w:w="196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C2FD38B" w14:textId="0B22331F" w:rsidR="002D23D4" w:rsidRPr="00CD1440" w:rsidRDefault="001201C2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</w:p>
        </w:tc>
        <w:tc>
          <w:tcPr>
            <w:tcW w:w="762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1D3484D" w14:textId="634EAEBC" w:rsidR="002D23D4" w:rsidRPr="00CD1440" w:rsidRDefault="002D23D4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CD1440">
              <w:rPr>
                <w:rFonts w:cs="Calibri"/>
                <w:sz w:val="18"/>
                <w:szCs w:val="18"/>
              </w:rPr>
              <w:t xml:space="preserve"> </w:t>
            </w:r>
            <w:r w:rsidR="001201C2">
              <w:rPr>
                <w:rFonts w:cs="Calibri"/>
                <w:sz w:val="18"/>
                <w:szCs w:val="18"/>
              </w:rPr>
              <w:t>2</w:t>
            </w:r>
            <w:r w:rsidR="00642E27">
              <w:rPr>
                <w:rFonts w:cs="Calibri"/>
                <w:sz w:val="18"/>
                <w:szCs w:val="18"/>
              </w:rPr>
              <w:t>0</w:t>
            </w:r>
            <w:r w:rsidRPr="00CD1440">
              <w:rPr>
                <w:rFonts w:cs="Calibri"/>
                <w:sz w:val="18"/>
                <w:szCs w:val="18"/>
              </w:rPr>
              <w:t>%</w:t>
            </w:r>
          </w:p>
        </w:tc>
      </w:tr>
      <w:tr w:rsidR="002D23D4" w:rsidRPr="00CD1440" w14:paraId="7A950635" w14:textId="77777777" w:rsidTr="00CE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011126C" w14:textId="77777777" w:rsidR="002D23D4" w:rsidRPr="00CD1440" w:rsidRDefault="002D23D4" w:rsidP="00CE0E39">
            <w:pPr>
              <w:rPr>
                <w:rFonts w:cs="Calibri"/>
                <w:b w:val="0"/>
                <w:sz w:val="18"/>
                <w:szCs w:val="18"/>
              </w:rPr>
            </w:pPr>
            <w:r w:rsidRPr="00CD1440">
              <w:rPr>
                <w:rFonts w:cs="Calibri"/>
                <w:b w:val="0"/>
                <w:bCs w:val="0"/>
                <w:sz w:val="18"/>
                <w:szCs w:val="18"/>
              </w:rPr>
              <w:t>Criterio 2</w:t>
            </w:r>
          </w:p>
        </w:tc>
        <w:tc>
          <w:tcPr>
            <w:tcW w:w="33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9FC9312" w14:textId="15FC7FCD" w:rsidR="002D23D4" w:rsidRPr="00CD1440" w:rsidRDefault="001201C2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Realiza la representación y responde a la pregunta de manera razonable (aunque los gráficos sean mejorables)</w:t>
            </w:r>
            <w:r w:rsidR="00642E27">
              <w:rPr>
                <w:rFonts w:cs="Calibri"/>
                <w:sz w:val="18"/>
                <w:szCs w:val="18"/>
              </w:rPr>
              <w:t xml:space="preserve">. </w:t>
            </w:r>
          </w:p>
        </w:tc>
        <w:tc>
          <w:tcPr>
            <w:tcW w:w="19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A31194" w14:textId="110984AD" w:rsidR="002D23D4" w:rsidRPr="00CD1440" w:rsidRDefault="001201C2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</w:p>
          <w:p w14:paraId="1FE60DCB" w14:textId="77777777" w:rsidR="002D23D4" w:rsidRPr="00CD1440" w:rsidRDefault="002D23D4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ABF2F8" w14:textId="29564061" w:rsidR="002D23D4" w:rsidRPr="00CD1440" w:rsidRDefault="002D23D4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 w:rsidRPr="00CD1440">
              <w:rPr>
                <w:rFonts w:cs="Calibri"/>
                <w:sz w:val="18"/>
                <w:szCs w:val="18"/>
              </w:rPr>
              <w:t xml:space="preserve"> </w:t>
            </w:r>
            <w:r w:rsidR="001201C2">
              <w:rPr>
                <w:rFonts w:cs="Calibri"/>
                <w:sz w:val="18"/>
                <w:szCs w:val="18"/>
              </w:rPr>
              <w:t>20</w:t>
            </w:r>
            <w:r w:rsidRPr="00CD1440">
              <w:rPr>
                <w:rFonts w:cs="Calibri"/>
                <w:sz w:val="18"/>
                <w:szCs w:val="18"/>
              </w:rPr>
              <w:t>%</w:t>
            </w:r>
          </w:p>
        </w:tc>
      </w:tr>
      <w:tr w:rsidR="002D23D4" w:rsidRPr="00CD1440" w14:paraId="6E313072" w14:textId="77777777" w:rsidTr="00CE0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A60555F" w14:textId="6AC6AF83" w:rsidR="002D23D4" w:rsidRPr="00CD1440" w:rsidRDefault="002D23D4" w:rsidP="00CE0E39">
            <w:pPr>
              <w:rPr>
                <w:rFonts w:cs="Calibri"/>
                <w:b w:val="0"/>
                <w:sz w:val="18"/>
                <w:szCs w:val="18"/>
              </w:rPr>
            </w:pPr>
            <w:r w:rsidRPr="00CD1440">
              <w:rPr>
                <w:rFonts w:cs="Calibri"/>
                <w:b w:val="0"/>
                <w:bCs w:val="0"/>
                <w:sz w:val="18"/>
                <w:szCs w:val="18"/>
              </w:rPr>
              <w:t xml:space="preserve">Criterio </w:t>
            </w:r>
            <w:r w:rsidR="00E15589">
              <w:rPr>
                <w:rFonts w:cs="Calibri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33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2CB7D3E9" w14:textId="3F8BA762" w:rsidR="002D23D4" w:rsidRPr="00CD1440" w:rsidRDefault="00B57F59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Es capaz de </w:t>
            </w:r>
            <w:r w:rsidR="00B8762B">
              <w:rPr>
                <w:rFonts w:cs="Calibri"/>
                <w:sz w:val="18"/>
                <w:szCs w:val="18"/>
              </w:rPr>
              <w:t>hacer la prueba de convergencia absoluta e interpreta correctamente el resultado alcanzado</w:t>
            </w:r>
            <w:r w:rsidR="001201C2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9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49668A" w14:textId="17F338A3" w:rsidR="002D23D4" w:rsidRPr="00CD1440" w:rsidRDefault="001201C2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</w:p>
        </w:tc>
        <w:tc>
          <w:tcPr>
            <w:tcW w:w="7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1EF8E41" w14:textId="03C3841C" w:rsidR="002D23D4" w:rsidRPr="00CD1440" w:rsidRDefault="001201C2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20</w:t>
            </w:r>
            <w:r w:rsidR="002D23D4" w:rsidRPr="00CD1440">
              <w:rPr>
                <w:rFonts w:cs="Calibri"/>
                <w:sz w:val="18"/>
                <w:szCs w:val="18"/>
              </w:rPr>
              <w:t>%</w:t>
            </w:r>
          </w:p>
        </w:tc>
      </w:tr>
      <w:tr w:rsidR="009C7514" w:rsidRPr="00CD1440" w14:paraId="5D25F930" w14:textId="77777777" w:rsidTr="00CE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FD0376E" w14:textId="1BB8A7F8" w:rsidR="009C7514" w:rsidRPr="00642E27" w:rsidRDefault="009C7514" w:rsidP="00CE0E39">
            <w:pPr>
              <w:rPr>
                <w:rFonts w:cs="Calibri"/>
                <w:b w:val="0"/>
                <w:bCs w:val="0"/>
                <w:sz w:val="18"/>
                <w:szCs w:val="18"/>
              </w:rPr>
            </w:pPr>
            <w:r w:rsidRPr="00642E27">
              <w:rPr>
                <w:rFonts w:cs="Calibri"/>
                <w:b w:val="0"/>
                <w:bCs w:val="0"/>
                <w:sz w:val="18"/>
                <w:szCs w:val="18"/>
              </w:rPr>
              <w:t>Cr</w:t>
            </w:r>
            <w:r w:rsidR="0005550C" w:rsidRPr="00642E27">
              <w:rPr>
                <w:rFonts w:cs="Calibri"/>
                <w:b w:val="0"/>
                <w:bCs w:val="0"/>
                <w:sz w:val="18"/>
                <w:szCs w:val="18"/>
              </w:rPr>
              <w:t>iterio 4</w:t>
            </w:r>
          </w:p>
        </w:tc>
        <w:tc>
          <w:tcPr>
            <w:tcW w:w="33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1EB458F" w14:textId="41176944" w:rsidR="009C7514" w:rsidRPr="00CD1440" w:rsidRDefault="00B8762B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Aunque no sean correctos los resultados alcanzados, habla sobre patrones de comportamiento</w:t>
            </w:r>
            <w:r w:rsidR="001201C2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9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9D86D8C" w14:textId="03FC17CE" w:rsidR="009C7514" w:rsidRPr="00CD1440" w:rsidRDefault="00642E27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</w:p>
        </w:tc>
        <w:tc>
          <w:tcPr>
            <w:tcW w:w="7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EEF4B3C" w14:textId="0FE52DB3" w:rsidR="009C7514" w:rsidRPr="00CD1440" w:rsidRDefault="00642E27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20%</w:t>
            </w:r>
          </w:p>
        </w:tc>
      </w:tr>
      <w:tr w:rsidR="001201C2" w:rsidRPr="00CD1440" w14:paraId="33718CFA" w14:textId="77777777" w:rsidTr="00CE0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BFAE138" w14:textId="00E4BA67" w:rsidR="001201C2" w:rsidRPr="001201C2" w:rsidRDefault="001201C2" w:rsidP="00CE0E39">
            <w:pPr>
              <w:rPr>
                <w:rFonts w:cs="Calibri"/>
                <w:b w:val="0"/>
                <w:bCs w:val="0"/>
                <w:sz w:val="18"/>
                <w:szCs w:val="18"/>
              </w:rPr>
            </w:pPr>
            <w:r w:rsidRPr="001201C2">
              <w:rPr>
                <w:rFonts w:cs="Calibri"/>
                <w:b w:val="0"/>
                <w:bCs w:val="0"/>
                <w:sz w:val="18"/>
                <w:szCs w:val="18"/>
              </w:rPr>
              <w:t>Criterio 5</w:t>
            </w:r>
          </w:p>
        </w:tc>
        <w:tc>
          <w:tcPr>
            <w:tcW w:w="33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29F078C" w14:textId="4DC105D9" w:rsidR="001201C2" w:rsidRDefault="00B8762B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Aunque las predicciones no sean correctas, es capaz de diferencias entre la predicción realizada para cada grupo</w:t>
            </w:r>
            <w:r w:rsidR="001201C2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196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9F15668" w14:textId="68D079E3" w:rsidR="001201C2" w:rsidRDefault="001201C2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</w:t>
            </w:r>
          </w:p>
        </w:tc>
        <w:tc>
          <w:tcPr>
            <w:tcW w:w="76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A8CB7BC" w14:textId="77777777" w:rsidR="001201C2" w:rsidRDefault="001201C2" w:rsidP="00CE0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18"/>
                <w:szCs w:val="18"/>
              </w:rPr>
            </w:pPr>
          </w:p>
        </w:tc>
      </w:tr>
      <w:tr w:rsidR="002D23D4" w:rsidRPr="00CD1440" w14:paraId="41A36C2E" w14:textId="77777777" w:rsidTr="00CE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0098CD"/>
            </w:tcBorders>
            <w:shd w:val="clear" w:color="auto" w:fill="auto"/>
          </w:tcPr>
          <w:p w14:paraId="3C9EBDB1" w14:textId="77777777" w:rsidR="002D23D4" w:rsidRPr="00CD1440" w:rsidRDefault="002D23D4" w:rsidP="00CE0E39">
            <w:pPr>
              <w:rPr>
                <w:rFonts w:cs="Calibri"/>
                <w:b w:val="0"/>
                <w:bCs w:val="0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3363" w:type="dxa"/>
            <w:tcBorders>
              <w:top w:val="single" w:sz="4" w:space="0" w:color="0098CD"/>
            </w:tcBorders>
            <w:shd w:val="clear" w:color="auto" w:fill="auto"/>
          </w:tcPr>
          <w:p w14:paraId="30E01607" w14:textId="77777777" w:rsidR="002D23D4" w:rsidRPr="00CD1440" w:rsidRDefault="002D23D4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sz w:val="18"/>
                <w:szCs w:val="18"/>
              </w:rPr>
            </w:pPr>
          </w:p>
        </w:tc>
        <w:tc>
          <w:tcPr>
            <w:tcW w:w="196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FB9E582" w14:textId="77777777" w:rsidR="002D23D4" w:rsidRPr="00CD1440" w:rsidRDefault="002D23D4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sz w:val="18"/>
                <w:szCs w:val="18"/>
              </w:rPr>
            </w:pPr>
            <w:r w:rsidRPr="00CD1440">
              <w:rPr>
                <w:rFonts w:cs="Calibri"/>
                <w:b/>
                <w:sz w:val="18"/>
                <w:szCs w:val="18"/>
              </w:rPr>
              <w:t>10</w:t>
            </w:r>
          </w:p>
        </w:tc>
        <w:tc>
          <w:tcPr>
            <w:tcW w:w="762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9A67356" w14:textId="77777777" w:rsidR="002D23D4" w:rsidRPr="00CD1440" w:rsidRDefault="002D23D4" w:rsidP="00CE0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/>
                <w:sz w:val="18"/>
                <w:szCs w:val="18"/>
              </w:rPr>
            </w:pPr>
            <w:r w:rsidRPr="00CD1440">
              <w:rPr>
                <w:rFonts w:cs="Calibri"/>
                <w:b/>
                <w:sz w:val="18"/>
                <w:szCs w:val="18"/>
              </w:rPr>
              <w:t>100 %</w:t>
            </w:r>
          </w:p>
        </w:tc>
      </w:tr>
    </w:tbl>
    <w:p w14:paraId="3579F48F" w14:textId="77777777" w:rsidR="00BF4B49" w:rsidRPr="00A90972" w:rsidRDefault="00BF4B49" w:rsidP="002D23D4">
      <w:pPr>
        <w:pStyle w:val="TtuloApartado1sinnivel"/>
        <w:rPr>
          <w:rFonts w:cs="UnitOT-Light"/>
        </w:rPr>
      </w:pPr>
    </w:p>
    <w:sectPr w:rsidR="00BF4B49" w:rsidRPr="00A90972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B6449" w14:textId="77777777" w:rsidR="00953914" w:rsidRDefault="00953914" w:rsidP="00C50246">
      <w:pPr>
        <w:spacing w:line="240" w:lineRule="auto"/>
      </w:pPr>
      <w:r>
        <w:separator/>
      </w:r>
    </w:p>
  </w:endnote>
  <w:endnote w:type="continuationSeparator" w:id="0">
    <w:p w14:paraId="080E74A0" w14:textId="77777777" w:rsidR="00953914" w:rsidRDefault="0095391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2DE1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GB" w:eastAsia="en-GB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0AC15BD1" wp14:editId="36EC0AE3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C34FDC" w14:textId="19847B85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B5F9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C15BD1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5AC34FDC" w14:textId="19847B85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B5F9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86A7584" wp14:editId="472B14A1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2D4B3E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6A7584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2F2D4B3E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ABAF931" w14:textId="6063E50F" w:rsidR="0041334B" w:rsidRPr="00656B43" w:rsidRDefault="00A03383" w:rsidP="00B96994">
    <w:pPr>
      <w:pStyle w:val="PiedepginaSecciones"/>
      <w:rPr>
        <w:color w:val="777777"/>
      </w:rPr>
    </w:pPr>
    <w:r>
      <w:t xml:space="preserve">Tema </w:t>
    </w:r>
    <w:r w:rsidR="007F4AA8">
      <w:t>2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EE3B" w14:textId="77777777" w:rsidR="00953914" w:rsidRDefault="00953914" w:rsidP="00C50246">
      <w:pPr>
        <w:spacing w:line="240" w:lineRule="auto"/>
      </w:pPr>
      <w:r>
        <w:separator/>
      </w:r>
    </w:p>
  </w:footnote>
  <w:footnote w:type="continuationSeparator" w:id="0">
    <w:p w14:paraId="60F8D279" w14:textId="77777777" w:rsidR="00953914" w:rsidRDefault="0095391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0763F8D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914C660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D0B21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F0290B5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F51D059" w14:textId="77777777" w:rsidTr="001924C8">
      <w:trPr>
        <w:trHeight w:val="342"/>
      </w:trPr>
      <w:tc>
        <w:tcPr>
          <w:tcW w:w="2552" w:type="dxa"/>
          <w:vMerge w:val="restart"/>
        </w:tcPr>
        <w:p w14:paraId="3370EF39" w14:textId="10C327A7" w:rsidR="00A90972" w:rsidRPr="00472B27" w:rsidRDefault="00155ED8" w:rsidP="00C65063">
          <w:pPr>
            <w:pStyle w:val="Textocajaactividades"/>
          </w:pPr>
          <w:r>
            <w:t>Gestión de Proyectos de Inteligencia de Negocio</w:t>
          </w:r>
        </w:p>
      </w:tc>
      <w:tc>
        <w:tcPr>
          <w:tcW w:w="3827" w:type="dxa"/>
        </w:tcPr>
        <w:p w14:paraId="0E961FDF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3051706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23BF041C" w14:textId="77777777" w:rsidTr="001924C8">
      <w:trPr>
        <w:trHeight w:val="342"/>
      </w:trPr>
      <w:tc>
        <w:tcPr>
          <w:tcW w:w="2552" w:type="dxa"/>
          <w:vMerge/>
        </w:tcPr>
        <w:p w14:paraId="40B2B143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22472365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E259B2E" w14:textId="77777777" w:rsidR="00A90972" w:rsidRDefault="00A90972" w:rsidP="00A90972">
          <w:pPr>
            <w:pStyle w:val="Encabezado"/>
          </w:pPr>
        </w:p>
      </w:tc>
    </w:tr>
  </w:tbl>
  <w:p w14:paraId="720D7C30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A18260C"/>
    <w:multiLevelType w:val="hybridMultilevel"/>
    <w:tmpl w:val="95D0FB10"/>
    <w:lvl w:ilvl="0" w:tplc="0E868FB6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1F2FFC"/>
    <w:multiLevelType w:val="hybridMultilevel"/>
    <w:tmpl w:val="1F489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B166114"/>
    <w:multiLevelType w:val="hybridMultilevel"/>
    <w:tmpl w:val="933E40B6"/>
    <w:lvl w:ilvl="0" w:tplc="08C4CC1A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C542083"/>
    <w:multiLevelType w:val="multilevel"/>
    <w:tmpl w:val="B0E0186E"/>
    <w:numStyleLink w:val="NmeracinTest"/>
  </w:abstractNum>
  <w:abstractNum w:abstractNumId="24" w15:restartNumberingAfterBreak="0">
    <w:nsid w:val="7D254355"/>
    <w:multiLevelType w:val="multilevel"/>
    <w:tmpl w:val="B37C3B20"/>
    <w:numStyleLink w:val="VietasUNIR"/>
  </w:abstractNum>
  <w:abstractNum w:abstractNumId="2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4"/>
  </w:num>
  <w:num w:numId="4">
    <w:abstractNumId w:val="16"/>
  </w:num>
  <w:num w:numId="5">
    <w:abstractNumId w:val="7"/>
  </w:num>
  <w:num w:numId="6">
    <w:abstractNumId w:val="3"/>
  </w:num>
  <w:num w:numId="7">
    <w:abstractNumId w:val="20"/>
  </w:num>
  <w:num w:numId="8">
    <w:abstractNumId w:val="6"/>
  </w:num>
  <w:num w:numId="9">
    <w:abstractNumId w:val="22"/>
  </w:num>
  <w:num w:numId="10">
    <w:abstractNumId w:val="1"/>
  </w:num>
  <w:num w:numId="11">
    <w:abstractNumId w:val="25"/>
  </w:num>
  <w:num w:numId="12">
    <w:abstractNumId w:val="2"/>
  </w:num>
  <w:num w:numId="13">
    <w:abstractNumId w:val="12"/>
  </w:num>
  <w:num w:numId="14">
    <w:abstractNumId w:val="14"/>
  </w:num>
  <w:num w:numId="15">
    <w:abstractNumId w:val="21"/>
  </w:num>
  <w:num w:numId="16">
    <w:abstractNumId w:val="19"/>
  </w:num>
  <w:num w:numId="17">
    <w:abstractNumId w:val="13"/>
  </w:num>
  <w:num w:numId="18">
    <w:abstractNumId w:val="23"/>
  </w:num>
  <w:num w:numId="19">
    <w:abstractNumId w:val="4"/>
  </w:num>
  <w:num w:numId="20">
    <w:abstractNumId w:val="10"/>
  </w:num>
  <w:num w:numId="21">
    <w:abstractNumId w:val="18"/>
  </w:num>
  <w:num w:numId="22">
    <w:abstractNumId w:val="9"/>
  </w:num>
  <w:num w:numId="23">
    <w:abstractNumId w:val="5"/>
  </w:num>
  <w:num w:numId="24">
    <w:abstractNumId w:val="8"/>
  </w:num>
  <w:num w:numId="25">
    <w:abstractNumId w:val="17"/>
  </w:num>
  <w:num w:numId="26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0D87"/>
    <w:rsid w:val="0001281C"/>
    <w:rsid w:val="0001542A"/>
    <w:rsid w:val="00016003"/>
    <w:rsid w:val="00031C55"/>
    <w:rsid w:val="00040A5B"/>
    <w:rsid w:val="000458EE"/>
    <w:rsid w:val="0005157B"/>
    <w:rsid w:val="0005178B"/>
    <w:rsid w:val="00054229"/>
    <w:rsid w:val="0005550C"/>
    <w:rsid w:val="00055C12"/>
    <w:rsid w:val="00056A2A"/>
    <w:rsid w:val="0005762B"/>
    <w:rsid w:val="00072F5A"/>
    <w:rsid w:val="00076A78"/>
    <w:rsid w:val="00086720"/>
    <w:rsid w:val="00087952"/>
    <w:rsid w:val="0009320A"/>
    <w:rsid w:val="000957C1"/>
    <w:rsid w:val="000967AE"/>
    <w:rsid w:val="000A331B"/>
    <w:rsid w:val="000A78DB"/>
    <w:rsid w:val="000B2FA7"/>
    <w:rsid w:val="000B6364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397"/>
    <w:rsid w:val="000F518E"/>
    <w:rsid w:val="000F5592"/>
    <w:rsid w:val="000F7E60"/>
    <w:rsid w:val="00112B38"/>
    <w:rsid w:val="001201C2"/>
    <w:rsid w:val="00137CF9"/>
    <w:rsid w:val="0014457D"/>
    <w:rsid w:val="00155ED8"/>
    <w:rsid w:val="00161226"/>
    <w:rsid w:val="00163FBB"/>
    <w:rsid w:val="001658DF"/>
    <w:rsid w:val="00171834"/>
    <w:rsid w:val="001763A3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5837"/>
    <w:rsid w:val="0024674E"/>
    <w:rsid w:val="00250A71"/>
    <w:rsid w:val="00253DA9"/>
    <w:rsid w:val="002572FC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4F2E"/>
    <w:rsid w:val="002C64FB"/>
    <w:rsid w:val="002D23D4"/>
    <w:rsid w:val="002D3237"/>
    <w:rsid w:val="002E198B"/>
    <w:rsid w:val="002E6FCB"/>
    <w:rsid w:val="002E769A"/>
    <w:rsid w:val="002F7E2D"/>
    <w:rsid w:val="00302FF8"/>
    <w:rsid w:val="003117D6"/>
    <w:rsid w:val="00320378"/>
    <w:rsid w:val="003224A0"/>
    <w:rsid w:val="00327C72"/>
    <w:rsid w:val="00330DE5"/>
    <w:rsid w:val="003369FB"/>
    <w:rsid w:val="0034363F"/>
    <w:rsid w:val="00346C65"/>
    <w:rsid w:val="00351EC2"/>
    <w:rsid w:val="00361683"/>
    <w:rsid w:val="00363DED"/>
    <w:rsid w:val="00380C78"/>
    <w:rsid w:val="00384AC7"/>
    <w:rsid w:val="0038659D"/>
    <w:rsid w:val="00394A34"/>
    <w:rsid w:val="003977FF"/>
    <w:rsid w:val="003A10AB"/>
    <w:rsid w:val="003C2275"/>
    <w:rsid w:val="003C4D34"/>
    <w:rsid w:val="003D0269"/>
    <w:rsid w:val="003D141E"/>
    <w:rsid w:val="003D16DC"/>
    <w:rsid w:val="003D56E0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453D"/>
    <w:rsid w:val="00491555"/>
    <w:rsid w:val="004A1A48"/>
    <w:rsid w:val="004B7249"/>
    <w:rsid w:val="004D4F93"/>
    <w:rsid w:val="004E1547"/>
    <w:rsid w:val="004E5487"/>
    <w:rsid w:val="004F1492"/>
    <w:rsid w:val="004F5D83"/>
    <w:rsid w:val="004F6924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661A0"/>
    <w:rsid w:val="00575580"/>
    <w:rsid w:val="005759A5"/>
    <w:rsid w:val="0058112D"/>
    <w:rsid w:val="005A0654"/>
    <w:rsid w:val="005B4BDC"/>
    <w:rsid w:val="005C1D3F"/>
    <w:rsid w:val="005D0D43"/>
    <w:rsid w:val="005E0B6D"/>
    <w:rsid w:val="005E6742"/>
    <w:rsid w:val="005F240A"/>
    <w:rsid w:val="005F2851"/>
    <w:rsid w:val="00611689"/>
    <w:rsid w:val="00613085"/>
    <w:rsid w:val="00613DB8"/>
    <w:rsid w:val="00616ACB"/>
    <w:rsid w:val="00620388"/>
    <w:rsid w:val="006223FA"/>
    <w:rsid w:val="006227CB"/>
    <w:rsid w:val="006311BF"/>
    <w:rsid w:val="00642E27"/>
    <w:rsid w:val="006467F9"/>
    <w:rsid w:val="0065243B"/>
    <w:rsid w:val="00656B43"/>
    <w:rsid w:val="006613F9"/>
    <w:rsid w:val="00664F67"/>
    <w:rsid w:val="0066551B"/>
    <w:rsid w:val="006738C6"/>
    <w:rsid w:val="0067404B"/>
    <w:rsid w:val="006825B0"/>
    <w:rsid w:val="00697462"/>
    <w:rsid w:val="006A210E"/>
    <w:rsid w:val="006B683F"/>
    <w:rsid w:val="006C52A0"/>
    <w:rsid w:val="006C595D"/>
    <w:rsid w:val="006C7BB7"/>
    <w:rsid w:val="006D1870"/>
    <w:rsid w:val="006E3957"/>
    <w:rsid w:val="006E5DBB"/>
    <w:rsid w:val="006F1F32"/>
    <w:rsid w:val="006F7317"/>
    <w:rsid w:val="006F79F1"/>
    <w:rsid w:val="00702914"/>
    <w:rsid w:val="00703B95"/>
    <w:rsid w:val="00710277"/>
    <w:rsid w:val="00711B4D"/>
    <w:rsid w:val="00711F6D"/>
    <w:rsid w:val="00712024"/>
    <w:rsid w:val="00712851"/>
    <w:rsid w:val="0071586B"/>
    <w:rsid w:val="007167D5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0290"/>
    <w:rsid w:val="007A34FD"/>
    <w:rsid w:val="007B15E7"/>
    <w:rsid w:val="007B5F9F"/>
    <w:rsid w:val="007C0189"/>
    <w:rsid w:val="007C13D5"/>
    <w:rsid w:val="007C1E0E"/>
    <w:rsid w:val="007C2659"/>
    <w:rsid w:val="007D00F6"/>
    <w:rsid w:val="007D1B3E"/>
    <w:rsid w:val="007D1E15"/>
    <w:rsid w:val="007D7193"/>
    <w:rsid w:val="007E4840"/>
    <w:rsid w:val="007E5D27"/>
    <w:rsid w:val="007F4AA8"/>
    <w:rsid w:val="007F691E"/>
    <w:rsid w:val="00802889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2A73"/>
    <w:rsid w:val="00866EC2"/>
    <w:rsid w:val="008745E4"/>
    <w:rsid w:val="008807AF"/>
    <w:rsid w:val="0088459B"/>
    <w:rsid w:val="008A4832"/>
    <w:rsid w:val="008B16BB"/>
    <w:rsid w:val="008B6154"/>
    <w:rsid w:val="008C09DB"/>
    <w:rsid w:val="008D14B5"/>
    <w:rsid w:val="008D2E81"/>
    <w:rsid w:val="008E1670"/>
    <w:rsid w:val="008F0709"/>
    <w:rsid w:val="008F1E4C"/>
    <w:rsid w:val="00907EEA"/>
    <w:rsid w:val="00917348"/>
    <w:rsid w:val="00917569"/>
    <w:rsid w:val="0092427B"/>
    <w:rsid w:val="00935FD2"/>
    <w:rsid w:val="009400C5"/>
    <w:rsid w:val="009434C7"/>
    <w:rsid w:val="009435B5"/>
    <w:rsid w:val="0095328C"/>
    <w:rsid w:val="00953914"/>
    <w:rsid w:val="009546DA"/>
    <w:rsid w:val="009563DF"/>
    <w:rsid w:val="00962EC2"/>
    <w:rsid w:val="00976D1B"/>
    <w:rsid w:val="0098228A"/>
    <w:rsid w:val="009848BD"/>
    <w:rsid w:val="009869BE"/>
    <w:rsid w:val="00987B51"/>
    <w:rsid w:val="009959A6"/>
    <w:rsid w:val="009A1065"/>
    <w:rsid w:val="009A3C7C"/>
    <w:rsid w:val="009A4CF7"/>
    <w:rsid w:val="009B0764"/>
    <w:rsid w:val="009B52C5"/>
    <w:rsid w:val="009B61E5"/>
    <w:rsid w:val="009C1CA9"/>
    <w:rsid w:val="009C2BF3"/>
    <w:rsid w:val="009C7514"/>
    <w:rsid w:val="009D10D7"/>
    <w:rsid w:val="009D6F1F"/>
    <w:rsid w:val="009E58E3"/>
    <w:rsid w:val="009E76FD"/>
    <w:rsid w:val="009F18E9"/>
    <w:rsid w:val="009F7B85"/>
    <w:rsid w:val="00A02D75"/>
    <w:rsid w:val="00A03383"/>
    <w:rsid w:val="00A13A0E"/>
    <w:rsid w:val="00A17600"/>
    <w:rsid w:val="00A20F71"/>
    <w:rsid w:val="00A22168"/>
    <w:rsid w:val="00A4761C"/>
    <w:rsid w:val="00A52549"/>
    <w:rsid w:val="00A60E8D"/>
    <w:rsid w:val="00A67DBC"/>
    <w:rsid w:val="00A71D6D"/>
    <w:rsid w:val="00A76AA2"/>
    <w:rsid w:val="00A76D45"/>
    <w:rsid w:val="00A90972"/>
    <w:rsid w:val="00A9140C"/>
    <w:rsid w:val="00AB2DE2"/>
    <w:rsid w:val="00AC296E"/>
    <w:rsid w:val="00AD0ED5"/>
    <w:rsid w:val="00AD4859"/>
    <w:rsid w:val="00AD4F85"/>
    <w:rsid w:val="00AD656F"/>
    <w:rsid w:val="00B0196C"/>
    <w:rsid w:val="00B03326"/>
    <w:rsid w:val="00B04AF8"/>
    <w:rsid w:val="00B0793D"/>
    <w:rsid w:val="00B07B59"/>
    <w:rsid w:val="00B1656E"/>
    <w:rsid w:val="00B166EF"/>
    <w:rsid w:val="00B22F15"/>
    <w:rsid w:val="00B407F7"/>
    <w:rsid w:val="00B417CD"/>
    <w:rsid w:val="00B57F59"/>
    <w:rsid w:val="00B72D4C"/>
    <w:rsid w:val="00B8087F"/>
    <w:rsid w:val="00B814A5"/>
    <w:rsid w:val="00B86981"/>
    <w:rsid w:val="00B8762B"/>
    <w:rsid w:val="00B96994"/>
    <w:rsid w:val="00BA14FF"/>
    <w:rsid w:val="00BA172C"/>
    <w:rsid w:val="00BA17EF"/>
    <w:rsid w:val="00BB1161"/>
    <w:rsid w:val="00BB2F36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1195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A2553"/>
    <w:rsid w:val="00CB749C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45A59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0DC0"/>
    <w:rsid w:val="00DF5736"/>
    <w:rsid w:val="00DF784B"/>
    <w:rsid w:val="00E144E3"/>
    <w:rsid w:val="00E15589"/>
    <w:rsid w:val="00E170B6"/>
    <w:rsid w:val="00E20732"/>
    <w:rsid w:val="00E2314E"/>
    <w:rsid w:val="00E300D2"/>
    <w:rsid w:val="00E46BF3"/>
    <w:rsid w:val="00E560E4"/>
    <w:rsid w:val="00E62BDA"/>
    <w:rsid w:val="00E63F97"/>
    <w:rsid w:val="00E65011"/>
    <w:rsid w:val="00E7167D"/>
    <w:rsid w:val="00E7189C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253D3"/>
    <w:rsid w:val="00F3027B"/>
    <w:rsid w:val="00F30C57"/>
    <w:rsid w:val="00F339C4"/>
    <w:rsid w:val="00F34955"/>
    <w:rsid w:val="00F403FC"/>
    <w:rsid w:val="00F4274A"/>
    <w:rsid w:val="00F44515"/>
    <w:rsid w:val="00F46137"/>
    <w:rsid w:val="00F5055C"/>
    <w:rsid w:val="00F617AA"/>
    <w:rsid w:val="00F63170"/>
    <w:rsid w:val="00F65B6D"/>
    <w:rsid w:val="00F6719A"/>
    <w:rsid w:val="00F719D6"/>
    <w:rsid w:val="00F736A2"/>
    <w:rsid w:val="00F77A3B"/>
    <w:rsid w:val="00F90CB7"/>
    <w:rsid w:val="00F96E27"/>
    <w:rsid w:val="00FA3226"/>
    <w:rsid w:val="00FA5FF9"/>
    <w:rsid w:val="00FB0A6F"/>
    <w:rsid w:val="00FC582A"/>
    <w:rsid w:val="00FD1A84"/>
    <w:rsid w:val="00FD6625"/>
    <w:rsid w:val="00FD7A4E"/>
    <w:rsid w:val="00FE65DA"/>
    <w:rsid w:val="00FF0854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63438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2D23D4"/>
    <w:rPr>
      <w:sz w:val="16"/>
      <w:szCs w:val="16"/>
    </w:rPr>
  </w:style>
  <w:style w:type="table" w:customStyle="1" w:styleId="Tabladecuadrcula5oscura-nfasis51">
    <w:name w:val="Tabla de cuadrícula 5 oscura - Énfasis 51"/>
    <w:basedOn w:val="Tablanormal"/>
    <w:uiPriority w:val="50"/>
    <w:rsid w:val="002D23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9" ma:contentTypeDescription="Crear nuevo documento." ma:contentTypeScope="" ma:versionID="eff634db0449f911e9d0c47556d02f1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293b8efccdd8e6af4494d88459d36ec0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E36E6-4A17-41A2-B716-D072B6B16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E6F3E6-82C7-4B1B-9EC1-613026292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6FF156-1F39-4EA8-BEC0-E0DCEF7617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557E1C-29B4-1B48-B060-C62BE4601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4542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antonio medina</cp:lastModifiedBy>
  <cp:revision>16</cp:revision>
  <cp:lastPrinted>2022-05-27T09:56:00Z</cp:lastPrinted>
  <dcterms:created xsi:type="dcterms:W3CDTF">2022-05-27T10:53:00Z</dcterms:created>
  <dcterms:modified xsi:type="dcterms:W3CDTF">2025-04-27T23:19:00Z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