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lang w:val="en-US"/>
        </w:rPr>
      </w:pPr>
      <w:r>
        <w:rPr>
          <w:b/>
          <w:sz w:val="28"/>
          <w:lang w:val="en-US"/>
        </w:rPr>
        <w:t>Study on the use of the number of attachments and neutral dissociations as a measure of damage in a gamma radiotherapy linac</w:t>
      </w:r>
    </w:p>
    <w:p>
      <w:pPr>
        <w:pStyle w:val="Normal"/>
        <w:rPr>
          <w:lang w:val="en-US"/>
        </w:rPr>
      </w:pPr>
      <w:r>
        <w:rPr>
          <w:lang w:val="en-US"/>
        </w:rPr>
      </w:r>
    </w:p>
    <w:p>
      <w:pPr>
        <w:pStyle w:val="Normal"/>
        <w:jc w:val="both"/>
        <w:rPr>
          <w:b/>
          <w:b/>
          <w:lang w:val="en-US"/>
        </w:rPr>
      </w:pPr>
      <w:r>
        <w:rPr>
          <w:b/>
          <w:lang w:val="en-US"/>
        </w:rPr>
        <w:t>Introduction</w:t>
      </w:r>
    </w:p>
    <w:p>
      <w:pPr>
        <w:pStyle w:val="Normal"/>
        <w:jc w:val="both"/>
        <w:rPr>
          <w:lang w:val="en-US"/>
        </w:rPr>
      </w:pPr>
      <w:r>
        <w:rPr>
          <w:lang w:val="en-US"/>
        </w:rPr>
        <w:t>The idea of the study is to check if the number of attachments and neutral dissociations caused by a gamma radiotherapy linac beam is not proportional to the dose in all areas.</w:t>
      </w:r>
    </w:p>
    <w:p>
      <w:pPr>
        <w:pStyle w:val="Normal"/>
        <w:jc w:val="both"/>
        <w:rPr>
          <w:b/>
          <w:b/>
          <w:lang w:val="en-US"/>
        </w:rPr>
      </w:pPr>
      <w:r>
        <w:rPr>
          <w:b/>
          <w:lang w:val="en-US"/>
        </w:rPr>
        <w:t>Material and methods</w:t>
      </w:r>
    </w:p>
    <w:p>
      <w:pPr>
        <w:pStyle w:val="Normal"/>
        <w:jc w:val="both"/>
        <w:rPr>
          <w:lang w:val="en-US"/>
        </w:rPr>
      </w:pPr>
      <w:r>
        <w:rPr>
          <w:lang w:val="en-US"/>
        </w:rPr>
        <w:t xml:space="preserve">We have calculated in different areas of a water phantom the dose and compared it to the number of attachments and neutral dissociations. The points selected are marked in figure 1. </w:t>
      </w:r>
    </w:p>
    <w:p>
      <w:pPr>
        <w:pStyle w:val="Normal"/>
        <w:jc w:val="both"/>
        <w:rPr/>
      </w:pPr>
      <w:r>
        <w:rPr/>
        <mc:AlternateContent>
          <mc:Choice Requires="wpg">
            <w:drawing>
              <wp:inline distT="0" distB="127000" distL="0" distR="0">
                <wp:extent cx="5158105" cy="2616835"/>
                <wp:effectExtent l="0" t="0" r="0" b="0"/>
                <wp:docPr id="1" name=""/>
                <a:graphic xmlns:a="http://schemas.openxmlformats.org/drawingml/2006/main">
                  <a:graphicData uri="http://schemas.microsoft.com/office/word/2010/wordprocessingGroup">
                    <wpg:wgp>
                      <wpg:cNvGrpSpPr/>
                      <wpg:grpSpPr>
                        <a:xfrm>
                          <a:off x="0" y="0"/>
                          <a:ext cx="5157360" cy="2616120"/>
                        </a:xfrm>
                      </wpg:grpSpPr>
                      <wps:wsp>
                        <wps:cNvSpPr/>
                        <wps:spPr>
                          <a:xfrm>
                            <a:off x="0" y="236268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P1 </w:t>
                              </w:r>
                            </w:p>
                          </w:txbxContent>
                        </wps:txbx>
                        <wps:bodyPr lIns="90000" rIns="90000" tIns="45000" bIns="45000">
                          <a:spAutoFit/>
                        </wps:bodyPr>
                      </wps:wsp>
                      <wps:wsp>
                        <wps:cNvSpPr/>
                        <wps:spPr>
                          <a:xfrm>
                            <a:off x="34200" y="169560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P2 </w:t>
                              </w:r>
                            </w:p>
                          </w:txbxContent>
                        </wps:txbx>
                        <wps:bodyPr lIns="90000" rIns="90000" tIns="45000" bIns="45000">
                          <a:spAutoFit/>
                        </wps:bodyPr>
                      </wps:wsp>
                      <wps:wsp>
                        <wps:cNvSpPr/>
                        <wps:spPr>
                          <a:xfrm>
                            <a:off x="34200" y="85392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P3 </w:t>
                              </w:r>
                            </w:p>
                          </w:txbxContent>
                        </wps:txbx>
                        <wps:bodyPr lIns="90000" rIns="90000" tIns="45000" bIns="45000">
                          <a:spAutoFit/>
                        </wps:bodyPr>
                      </wps:wsp>
                      <wps:wsp>
                        <wps:cNvSpPr/>
                        <wps:spPr>
                          <a:xfrm>
                            <a:off x="59040" y="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P4 </w:t>
                              </w:r>
                            </w:p>
                          </w:txbxContent>
                        </wps:txbx>
                        <wps:bodyPr lIns="90000" rIns="90000" tIns="45000" bIns="45000">
                          <a:spAutoFit/>
                        </wps:bodyPr>
                      </wps:wsp>
                      <wps:wsp>
                        <wps:cNvSpPr/>
                        <wps:spPr>
                          <a:xfrm>
                            <a:off x="1933560" y="189180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P5 </w:t>
                              </w:r>
                            </w:p>
                          </w:txbxContent>
                        </wps:txbx>
                        <wps:bodyPr lIns="90000" rIns="90000" tIns="45000" bIns="45000">
                          <a:spAutoFit/>
                        </wps:bodyPr>
                      </wps:wsp>
                      <wps:wsp>
                        <wps:cNvSpPr/>
                        <wps:spPr>
                          <a:xfrm>
                            <a:off x="2442960" y="1526400"/>
                            <a:ext cx="38160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P6</w:t>
                              </w:r>
                            </w:p>
                          </w:txbxContent>
                        </wps:txbx>
                        <wps:bodyPr lIns="90000" rIns="90000" tIns="45000" bIns="45000">
                          <a:spAutoFit/>
                        </wps:bodyPr>
                      </wps:wsp>
                      <wps:wsp>
                        <wps:cNvSpPr/>
                        <wps:spPr>
                          <a:xfrm>
                            <a:off x="2878560" y="191016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P7 </w:t>
                              </w:r>
                            </w:p>
                          </w:txbxContent>
                        </wps:txbx>
                        <wps:bodyPr lIns="90000" rIns="90000" tIns="45000" bIns="45000">
                          <a:spAutoFit/>
                        </wps:bodyPr>
                      </wps:wsp>
                      <wps:wsp>
                        <wps:cNvSpPr/>
                        <wps:spPr>
                          <a:xfrm>
                            <a:off x="3486960" y="153180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P8 </w:t>
                              </w:r>
                            </w:p>
                          </w:txbxContent>
                        </wps:txbx>
                        <wps:bodyPr lIns="90000" rIns="90000" tIns="45000" bIns="45000">
                          <a:spAutoFit/>
                        </wps:bodyPr>
                      </wps:wsp>
                      <wps:wsp>
                        <wps:cNvSpPr/>
                        <wps:spPr>
                          <a:xfrm>
                            <a:off x="4727520" y="1910160"/>
                            <a:ext cx="429840" cy="253440"/>
                          </a:xfrm>
                          <a:prstGeom prst="rect">
                            <a:avLst/>
                          </a:prstGeom>
                          <a:noFill/>
                          <a:ln>
                            <a:noFill/>
                          </a:ln>
                        </wps:spPr>
                        <wps:style>
                          <a:lnRef idx="0"/>
                          <a:fillRef idx="0"/>
                          <a:effectRef idx="0"/>
                          <a:fontRef idx="minor"/>
                        </wps:style>
                        <wps:txb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P9 </w:t>
                              </w:r>
                            </w:p>
                          </w:txbxContent>
                        </wps:txbx>
                        <wps:bodyPr lIns="90000" rIns="90000" tIns="45000" bIns="45000">
                          <a:spAutoFit/>
                        </wps:bodyPr>
                      </wps:wsp>
                    </wpg:wgp>
                  </a:graphicData>
                </a:graphic>
              </wp:inline>
            </w:drawing>
          </mc:Choice>
          <mc:Fallback>
            <w:pict>
              <v:group id="shape_0" style="position:absolute;margin-left:0pt;margin-top:0pt;width:406.1pt;height:206pt" coordorigin="0,0" coordsize="8122,4120">
                <v:rect id="shape_0" ID="Rectángulo 3" stroked="f" style="position:absolute;left:0;top:3721;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P1 </w:t>
                        </w:r>
                      </w:p>
                    </w:txbxContent>
                  </v:textbox>
                  <w10:wrap type="none"/>
                  <v:fill on="false" o:detectmouseclick="t"/>
                  <v:stroke color="#3465a4" joinstyle="round" endcap="flat"/>
                </v:rect>
                <v:rect id="shape_0" ID="Rectángulo 4" stroked="f" style="position:absolute;left:54;top:2670;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P2 </w:t>
                        </w:r>
                      </w:p>
                    </w:txbxContent>
                  </v:textbox>
                  <w10:wrap type="none"/>
                  <v:fill on="false" o:detectmouseclick="t"/>
                  <v:stroke color="#3465a4" joinstyle="round" endcap="flat"/>
                </v:rect>
                <v:rect id="shape_0" ID="Rectángulo 5" stroked="f" style="position:absolute;left:54;top:1345;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P3 </w:t>
                        </w:r>
                      </w:p>
                    </w:txbxContent>
                  </v:textbox>
                  <w10:wrap type="none"/>
                  <v:fill on="false" o:detectmouseclick="t"/>
                  <v:stroke color="#3465a4" joinstyle="round" endcap="flat"/>
                </v:rect>
                <v:rect id="shape_0" ID="Rectángulo 6" stroked="f" style="position:absolute;left:93;top:0;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P4 </w:t>
                        </w:r>
                      </w:p>
                    </w:txbxContent>
                  </v:textbox>
                  <w10:wrap type="none"/>
                  <v:fill on="false" o:detectmouseclick="t"/>
                  <v:stroke color="#3465a4" joinstyle="round" endcap="flat"/>
                </v:rect>
                <v:rect id="shape_0" ID="Rectángulo 7" stroked="f" style="position:absolute;left:3045;top:2979;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P5 </w:t>
                        </w:r>
                      </w:p>
                    </w:txbxContent>
                  </v:textbox>
                  <w10:wrap type="none"/>
                  <v:fill on="false" o:detectmouseclick="t"/>
                  <v:stroke color="#3465a4" joinstyle="round" endcap="flat"/>
                </v:rect>
                <v:rect id="shape_0" ID="Rectángulo 8" stroked="f" style="position:absolute;left:3847;top:2404;width:600;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P6</w:t>
                        </w:r>
                      </w:p>
                    </w:txbxContent>
                  </v:textbox>
                  <w10:wrap type="none"/>
                  <v:fill on="false" o:detectmouseclick="t"/>
                  <v:stroke color="#3465a4" joinstyle="round" endcap="flat"/>
                </v:rect>
                <v:rect id="shape_0" ID="Rectángulo 9" stroked="f" style="position:absolute;left:4533;top:3008;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P7 </w:t>
                        </w:r>
                      </w:p>
                    </w:txbxContent>
                  </v:textbox>
                  <w10:wrap type="none"/>
                  <v:fill on="false" o:detectmouseclick="t"/>
                  <v:stroke color="#3465a4" joinstyle="round" endcap="flat"/>
                </v:rect>
                <v:rect id="shape_0" ID="Rectángulo 10" stroked="f" style="position:absolute;left:5491;top:2412;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P8 </w:t>
                        </w:r>
                      </w:p>
                    </w:txbxContent>
                  </v:textbox>
                  <w10:wrap type="none"/>
                  <v:fill on="false" o:detectmouseclick="t"/>
                  <v:stroke color="#3465a4" joinstyle="round" endcap="flat"/>
                </v:rect>
                <v:rect id="shape_0" ID="Rectángulo 11" stroked="f" style="position:absolute;left:7445;top:3008;width:676;height:398">
                  <v:textbox>
                    <w:txbxContent>
                      <w:p>
                        <w:pPr>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Calibri" w:hAnsi="Calibri"/>
                            <w:color w:val="000000"/>
                          </w:rPr>
                          <w:t xml:space="preserve">P9 </w:t>
                        </w:r>
                      </w:p>
                    </w:txbxContent>
                  </v:textbox>
                  <w10:wrap type="none"/>
                  <v:fill on="false" o:detectmouseclick="t"/>
                  <v:stroke color="#3465a4" joinstyle="round" endcap="flat"/>
                </v:rect>
              </v:group>
            </w:pict>
          </mc:Fallback>
        </mc:AlternateContent>
      </w:r>
    </w:p>
    <w:p>
      <w:pPr>
        <w:pStyle w:val="Normal"/>
        <w:jc w:val="both"/>
        <w:rPr>
          <w:sz w:val="20"/>
          <w:lang w:val="en-US"/>
        </w:rPr>
      </w:pPr>
      <w:r>
        <w:rPr>
          <w:sz w:val="20"/>
          <w:lang w:val="en-US"/>
        </w:rPr>
        <w:t>Fig. 1. Calculation points</w:t>
      </w:r>
    </w:p>
    <w:p>
      <w:pPr>
        <w:pStyle w:val="Normal"/>
        <w:jc w:val="both"/>
        <w:rPr>
          <w:lang w:val="en-US"/>
        </w:rPr>
      </w:pPr>
      <w:r>
        <w:rPr>
          <w:lang w:val="en-US"/>
        </w:rPr>
        <w:t>The dimensions of the voxel to calculate the dose are 2x2x2 mm. 1.E9 events take about 130 hours of CPU and the dose has an error that is quite big for the points at the edges (see Table 1). Reducing the voxel for example to 1x1x1 mm would mean that we would need 64 times more CPU for the same error, what seems prohibitive. In any case the conclusions of this work are not expected to change by a further reduction of the voxel dimensions.</w:t>
      </w:r>
    </w:p>
    <w:tbl>
      <w:tblPr>
        <w:tblW w:w="7018" w:type="dxa"/>
        <w:jc w:val="left"/>
        <w:tblInd w:w="70" w:type="dxa"/>
        <w:tblBorders/>
        <w:tblCellMar>
          <w:top w:w="0" w:type="dxa"/>
          <w:left w:w="70" w:type="dxa"/>
          <w:bottom w:w="0" w:type="dxa"/>
          <w:right w:w="70" w:type="dxa"/>
        </w:tblCellMar>
      </w:tblPr>
      <w:tblGrid>
        <w:gridCol w:w="7018"/>
      </w:tblGrid>
      <w:tr>
        <w:trPr>
          <w:trHeight w:val="300" w:hRule="atLeast"/>
        </w:trPr>
        <w:tc>
          <w:tcPr>
            <w:tcW w:w="7018" w:type="dxa"/>
            <w:tcBorders/>
            <w:shd w:fill="FFFFFF" w:val="clear"/>
            <w:vAlign w:val="bottom"/>
          </w:tcPr>
          <w:tbl>
            <w:tblPr>
              <w:tblW w:w="603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814"/>
              <w:gridCol w:w="2518"/>
              <w:gridCol w:w="900"/>
              <w:gridCol w:w="1800"/>
            </w:tblGrid>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val="en-US" w:eastAsia="es-ES"/>
                    </w:rPr>
                  </w:pPr>
                  <w:r>
                    <w:rPr>
                      <w:rFonts w:eastAsia="Times New Roman" w:cs="Calibri"/>
                      <w:color w:val="000000"/>
                      <w:lang w:val="en-US" w:eastAsia="es-ES"/>
                    </w:rPr>
                  </w:r>
                </w:p>
              </w:tc>
              <w:tc>
                <w:tcPr>
                  <w:tcW w:w="521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center"/>
                    <w:rPr>
                      <w:rFonts w:ascii="Calibri" w:hAnsi="Calibri" w:eastAsia="Times New Roman" w:cs="Calibri"/>
                      <w:color w:val="000000"/>
                      <w:lang w:eastAsia="es-ES"/>
                    </w:rPr>
                  </w:pPr>
                  <w:r>
                    <w:rPr>
                      <w:rFonts w:eastAsia="Times New Roman" w:cs="Calibri"/>
                      <w:color w:val="000000"/>
                      <w:lang w:eastAsia="es-ES"/>
                    </w:rPr>
                    <w:t>Dose +- (REL error)</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P1</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2.98E-14</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0.0107815</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P2</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2.02E-14</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0.0131094</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P3</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1.15E-14</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0.0174004</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P4</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6.66E-15</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0.0234022</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P5</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1.91E-14</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0.013494</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P6</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1.91E-15</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0.0399702</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P7</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1.18E-15</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0.0576965</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P8</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6.29E-16</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0.104196</w:t>
                  </w:r>
                </w:p>
              </w:tc>
            </w:tr>
            <w:tr>
              <w:trPr/>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P9</w:t>
                  </w:r>
                </w:p>
              </w:tc>
              <w:tc>
                <w:tcPr>
                  <w:tcW w:w="2518" w:type="dxa"/>
                  <w:tcBorders>
                    <w:top w:val="single" w:sz="4" w:space="0" w:color="00000A"/>
                    <w:left w:val="single" w:sz="4" w:space="0" w:color="00000A"/>
                    <w:bottom w:val="single" w:sz="4" w:space="0" w:color="00000A"/>
                    <w:insideH w:val="single" w:sz="4" w:space="0" w:color="00000A"/>
                  </w:tcBorders>
                  <w:shd w:fill="auto" w:val="clear"/>
                  <w:tcMar>
                    <w:left w:w="103" w:type="dxa"/>
                  </w:tcM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2.78E-16</w:t>
                  </w:r>
                </w:p>
              </w:tc>
              <w:tc>
                <w:tcPr>
                  <w:tcW w:w="900" w:type="dxa"/>
                  <w:tcBorders>
                    <w:top w:val="single" w:sz="4" w:space="0" w:color="00000A"/>
                    <w:bottom w:val="single" w:sz="4" w:space="0" w:color="00000A"/>
                    <w:insideH w:val="single" w:sz="4" w:space="0" w:color="00000A"/>
                  </w:tcBorders>
                  <w:shd w:fill="auto" w:val="clear"/>
                  <w:vAlign w:val="bottom"/>
                </w:tcPr>
                <w:p>
                  <w:pPr>
                    <w:pStyle w:val="Normal"/>
                    <w:spacing w:lineRule="auto" w:line="240" w:before="0" w:after="0"/>
                    <w:rPr>
                      <w:rFonts w:ascii="Calibri" w:hAnsi="Calibri" w:eastAsia="Times New Roman" w:cs="Calibri"/>
                      <w:color w:val="000000"/>
                      <w:lang w:eastAsia="es-ES"/>
                    </w:rPr>
                  </w:pPr>
                  <w:r>
                    <w:rPr>
                      <w:rFonts w:eastAsia="Times New Roman" w:cs="Calibri"/>
                      <w:color w:val="000000"/>
                      <w:lang w:eastAsia="es-ES"/>
                    </w:rPr>
                    <w:t>+-</w:t>
                  </w:r>
                </w:p>
              </w:tc>
              <w:tc>
                <w:tcPr>
                  <w:tcW w:w="180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t>0.131382</w:t>
                  </w:r>
                </w:p>
              </w:tc>
            </w:tr>
          </w:tbl>
          <w:p>
            <w:pPr>
              <w:pStyle w:val="Normal"/>
              <w:spacing w:lineRule="auto" w:line="240" w:before="0" w:after="0"/>
              <w:jc w:val="right"/>
              <w:rPr>
                <w:rFonts w:ascii="Calibri" w:hAnsi="Calibri" w:eastAsia="Times New Roman" w:cs="Calibri"/>
                <w:color w:val="000000"/>
                <w:lang w:eastAsia="es-ES"/>
              </w:rPr>
            </w:pPr>
            <w:r>
              <w:rPr>
                <w:rFonts w:eastAsia="Times New Roman" w:cs="Calibri"/>
                <w:color w:val="000000"/>
                <w:lang w:eastAsia="es-ES"/>
              </w:rPr>
            </w:r>
          </w:p>
        </w:tc>
      </w:tr>
    </w:tbl>
    <w:p>
      <w:pPr>
        <w:pStyle w:val="Normal"/>
        <w:rPr>
          <w:sz w:val="20"/>
          <w:lang w:val="en-US"/>
        </w:rPr>
      </w:pPr>
      <w:r>
        <w:rPr>
          <w:sz w:val="20"/>
          <w:lang w:val="en-US"/>
        </w:rPr>
        <w:t>Table 1. Dose at points in water cube calculated with Livermore physics</w:t>
      </w:r>
    </w:p>
    <w:p>
      <w:pPr>
        <w:pStyle w:val="Normal"/>
        <w:rPr>
          <w:lang w:val="en-US"/>
        </w:rPr>
      </w:pPr>
      <w:r>
        <w:rPr>
          <w:lang w:val="en-US"/>
        </w:rPr>
        <w:t>We have divided the calculations in three.</w:t>
      </w:r>
    </w:p>
    <w:p>
      <w:pPr>
        <w:pStyle w:val="ListParagraph"/>
        <w:numPr>
          <w:ilvl w:val="0"/>
          <w:numId w:val="1"/>
        </w:numPr>
        <w:jc w:val="both"/>
        <w:rPr>
          <w:lang w:val="en-US"/>
        </w:rPr>
      </w:pPr>
      <w:r>
        <w:rPr>
          <w:lang w:val="en-US"/>
        </w:rPr>
        <w:t>Calculate the phase space of particles after traversing the linac geometry, using EGSnrc and the real linac geometry with a field 10x10 cm</w:t>
      </w:r>
    </w:p>
    <w:p>
      <w:pPr>
        <w:pStyle w:val="ListParagraph"/>
        <w:numPr>
          <w:ilvl w:val="0"/>
          <w:numId w:val="1"/>
        </w:numPr>
        <w:jc w:val="both"/>
        <w:rPr>
          <w:lang w:val="en-US"/>
        </w:rPr>
      </w:pPr>
      <w:r>
        <w:rPr>
          <w:lang w:val="en-US"/>
        </w:rPr>
        <w:t>Send the particles in the phase space on a phantom of water of dimensions 35x35x35cm placed starting at Z=100 cm, using Livermore GEANT4 phyiscs. The dose in the phantom is calculated in the cubes placed at the nine indicated positions. We write a phase space of the electrons and positrons created by an interaction (photoelectric, Compton or pair conversion) of a beam gamma that may reach one of the cubes. This electron will later be tracked with LEPTS, so to avoid having to track all electrons, we have only saved those that have a change to reach the voxel:</w:t>
      </w:r>
    </w:p>
    <w:p>
      <w:pPr>
        <w:pStyle w:val="ListParagraph"/>
        <w:numPr>
          <w:ilvl w:val="1"/>
          <w:numId w:val="1"/>
        </w:numPr>
        <w:rPr>
          <w:lang w:val="en-US"/>
        </w:rPr>
      </w:pPr>
      <w:r>
        <w:rPr>
          <w:lang w:val="en-US"/>
        </w:rPr>
        <w:t>Are created in the voxel (voxel)</w:t>
      </w:r>
    </w:p>
    <w:p>
      <w:pPr>
        <w:pStyle w:val="ListParagraph"/>
        <w:numPr>
          <w:ilvl w:val="1"/>
          <w:numId w:val="1"/>
        </w:numPr>
        <w:rPr>
          <w:lang w:val="en-US"/>
        </w:rPr>
      </w:pPr>
      <w:r>
        <w:rPr>
          <w:lang w:val="en-US"/>
        </w:rPr>
        <w:t>Or are created in a cube 20x20x20 mm around the voxel (voxelBig)</w:t>
      </w:r>
    </w:p>
    <w:p>
      <w:pPr>
        <w:pStyle w:val="ListParagraph"/>
        <w:numPr>
          <w:ilvl w:val="1"/>
          <w:numId w:val="1"/>
        </w:numPr>
        <w:rPr>
          <w:lang w:val="en-US"/>
        </w:rPr>
      </w:pPr>
      <w:r>
        <w:rPr>
          <w:lang w:val="en-US"/>
        </w:rPr>
        <w:t>Or have an energy &gt; 1 MeV (outVoxel)</w:t>
      </w:r>
    </w:p>
    <w:p>
      <w:pPr>
        <w:pStyle w:val="ListParagraph"/>
        <w:numPr>
          <w:ilvl w:val="0"/>
          <w:numId w:val="1"/>
        </w:numPr>
        <w:jc w:val="both"/>
        <w:rPr>
          <w:lang w:val="en-US"/>
        </w:rPr>
      </w:pPr>
      <w:r>
        <w:rPr>
          <w:lang w:val="en-US"/>
        </w:rPr>
        <w:t>We chose one of the nine voxels and track with LEPTS all the electrons that may reach the voxel. To understand it better we have separated in different jobs the electrons from the three cases above. For case a) we track all, but for cases b) and c) we do not track those whose energy would not allow them to reach the voxel: we have studied that the probability that an electron or its secondaries reach a distance from its origin bigger than D (cm) = 1.1 E (MeV) is very small, so we use the condition that the distance of the origin of an electron to the voxel walls have to be D (cm) &lt; 2*E (MeV) to start its tracking.</w:t>
      </w:r>
    </w:p>
    <w:p>
      <w:pPr>
        <w:pStyle w:val="ListParagraph"/>
        <w:jc w:val="both"/>
        <w:rPr>
          <w:lang w:val="en-US"/>
        </w:rPr>
      </w:pPr>
      <w:r>
        <w:rPr>
          <w:lang w:val="en-US"/>
        </w:rPr>
      </w:r>
    </w:p>
    <w:p>
      <w:pPr>
        <w:pStyle w:val="ListParagraph"/>
        <w:ind w:left="0" w:right="0" w:hanging="0"/>
        <w:jc w:val="both"/>
        <w:rPr>
          <w:b/>
          <w:b/>
          <w:lang w:val="en-US"/>
        </w:rPr>
      </w:pPr>
      <w:r>
        <w:rPr>
          <w:b/>
          <w:lang w:val="en-US"/>
        </w:rPr>
        <w:t>Results</w:t>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t>For each of the nine voxels we calculated in the voxel the dose, the number of attachments, the number of neutral dissociations and the ratio:</w:t>
      </w:r>
    </w:p>
    <w:tbl>
      <w:tblPr>
        <w:tblW w:w="10605" w:type="dxa"/>
        <w:jc w:val="left"/>
        <w:tblInd w:w="-1085" w:type="dxa"/>
        <w:tblBorders/>
        <w:tblCellMar>
          <w:top w:w="0" w:type="dxa"/>
          <w:left w:w="70" w:type="dxa"/>
          <w:bottom w:w="0" w:type="dxa"/>
          <w:right w:w="70" w:type="dxa"/>
        </w:tblCellMar>
      </w:tblPr>
      <w:tblGrid>
        <w:gridCol w:w="900"/>
        <w:gridCol w:w="1350"/>
        <w:gridCol w:w="1168"/>
        <w:gridCol w:w="1136"/>
        <w:gridCol w:w="1146"/>
        <w:gridCol w:w="1050"/>
        <w:gridCol w:w="1168"/>
        <w:gridCol w:w="1264"/>
        <w:gridCol w:w="1423"/>
      </w:tblGrid>
      <w:tr>
        <w:trPr>
          <w:trHeight w:val="300" w:hRule="atLeas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N ATTACH</w:t>
            </w:r>
          </w:p>
        </w:tc>
        <w:tc>
          <w:tcPr>
            <w:tcW w:w="1136"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N NEUT DISS</w:t>
            </w:r>
          </w:p>
        </w:tc>
        <w:tc>
          <w:tcPr>
            <w:tcW w:w="1146"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DOSE</w:t>
            </w:r>
          </w:p>
        </w:tc>
        <w:tc>
          <w:tcPr>
            <w:tcW w:w="10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DOSE ERROR (REL)</w:t>
            </w:r>
          </w:p>
        </w:tc>
        <w:tc>
          <w:tcPr>
            <w:tcW w:w="1168" w:type="dxa"/>
            <w:tcBorders/>
            <w:shd w:fill="FFFFFF" w:val="clear"/>
            <w:vAlign w:val="bottom"/>
          </w:tcPr>
          <w:p>
            <w:pPr>
              <w:pStyle w:val="Normal"/>
              <w:spacing w:lineRule="auto" w:line="240" w:before="0" w:after="0"/>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DOSE/NATT</w:t>
            </w:r>
          </w:p>
        </w:tc>
        <w:tc>
          <w:tcPr>
            <w:tcW w:w="1264" w:type="dxa"/>
            <w:tcBorders/>
            <w:shd w:fill="FFFFFF" w:val="clear"/>
            <w:vAlign w:val="bottom"/>
          </w:tcPr>
          <w:p>
            <w:pPr>
              <w:pStyle w:val="Normal"/>
              <w:spacing w:lineRule="auto" w:line="240" w:before="0" w:after="0"/>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DOSE/NNEUD</w:t>
            </w:r>
          </w:p>
        </w:tc>
        <w:tc>
          <w:tcPr>
            <w:tcW w:w="1423"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%DOSE</w:t>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P1</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5606,2</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22116,7</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1,44E-14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2,57E-18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6,50E-19</w:t>
            </w:r>
          </w:p>
        </w:tc>
        <w:tc>
          <w:tcPr>
            <w:tcW w:w="1423"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16,8%</w:t>
            </w:r>
          </w:p>
        </w:tc>
      </w:tr>
      <w:tr>
        <w:trPr>
          <w:trHeight w:val="300" w:hRule="atLeast"/>
        </w:trPr>
        <w:tc>
          <w:tcPr>
            <w:tcW w:w="900"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22247,0</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80879,3</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5,71E-14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2,57E-18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7,06E-19</w:t>
            </w:r>
          </w:p>
        </w:tc>
        <w:tc>
          <w:tcPr>
            <w:tcW w:w="1423"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66,8%</w:t>
            </w:r>
          </w:p>
        </w:tc>
      </w:tr>
      <w:tr>
        <w:trPr>
          <w:trHeight w:val="300" w:hRule="atLeast"/>
        </w:trPr>
        <w:tc>
          <w:tcPr>
            <w:tcW w:w="900"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5694,2</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21344,3</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1,39E-14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2,45E-18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6,53E-19</w:t>
            </w:r>
          </w:p>
        </w:tc>
        <w:tc>
          <w:tcPr>
            <w:tcW w:w="1423"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16,3%</w:t>
            </w:r>
          </w:p>
        </w:tc>
      </w:tr>
      <w:tr>
        <w:trPr>
          <w:trHeight w:val="300" w:hRule="atLeast"/>
        </w:trPr>
        <w:tc>
          <w:tcPr>
            <w:tcW w:w="900" w:type="dxa"/>
            <w:tcBorders/>
            <w:shd w:fill="FFFFFF" w:val="clear"/>
            <w:vAlign w:val="bottom"/>
          </w:tcPr>
          <w:p>
            <w:pPr>
              <w:pStyle w:val="Normal"/>
              <w:spacing w:lineRule="auto" w:line="240" w:before="0" w:after="0"/>
              <w:jc w:val="center"/>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33547,4</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124340,3</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8,54E-14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0,16</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2,55E-18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6,87E-19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P2</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4178,2</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16209,4</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1,07E-14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2,57E-18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6,61E-19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15,0%</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15747,9</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60543,1</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4,08E-14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6,74E-19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56,9%</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8149,9</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31122,3</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2,01E-14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2,47E-18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6,47E-19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28,1%</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28076,1</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107874,7</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7,17E-14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0,11</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2,55E-18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6,65E-19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P3</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2082,3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8087,8</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5,29E-15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2,54E-18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6,54E-19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14,4%</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8806,6</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33055,2</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2,23E-14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2,53E-18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6,74E-19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60,6%</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3697,4</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14038,9</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9,19E-15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2,49E-18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25,0%</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14586,3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55181,9</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3,68E-14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0,13</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2,52E-18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6,67E-19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P4</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1141,1</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4514,7</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2,90E-15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2,54E-18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6,43E-19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12,6%</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5681,1</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20939,4</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1,26E-14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2,21E-18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5,99E-19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54,4%</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3061,0</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11515,4</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7,64E-15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2,49E-18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6,63E-19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33,1%</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9883,2</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36969,5</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2,31E-14</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0,06</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2,34E-18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6,25E-19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P5</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P6</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937,3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3841,7</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2,42E-15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2,58E-18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6,30E-19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27,2%</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1331,5</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5155,9</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3,35E-15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2,52E-18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6,50E-19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37,6%</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1252,6</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4840,4</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3,14E-15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2,51E-18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6,48E-19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35,2%</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3521,3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13838,0</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8,91E-15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0,10</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2,53E-18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6,44E-19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P7</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697,2</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2869,0</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1,80E-15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2,58E-18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6,27E-19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49,7%</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655,1</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2541,7</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1,65E-15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2,52E-18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6,48E-19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45,5%</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58,3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270,9</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1,72E-16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2,95E-18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6,35E-19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4,8%</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1410,6</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5681,6</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3,62E-15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0,06</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2,57E-18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6,37E-19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P8</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450,3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1868,6</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1,17E-15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6,25E-19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57,2%</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273,9</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1087,8</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7,00E-16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2,56E-18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6,44E-19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34,3%</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64,3</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262,9</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1,74E-16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2,70E-18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6,61E-19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8,5%</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788,5</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3219,3</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2,04E-15</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0,07</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6,35E-19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r>
        <w:trPr>
          <w:trHeight w:val="23" w:hRule="exact"/>
        </w:trPr>
        <w:tc>
          <w:tcPr>
            <w:tcW w:w="90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3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3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46"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050"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c>
          <w:tcPr>
            <w:tcW w:w="1168"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264" w:type="dxa"/>
            <w:tcBorders/>
            <w:shd w:fill="FFFFFF" w:val="clear"/>
            <w:vAlign w:val="bottom"/>
          </w:tcPr>
          <w:p>
            <w:pPr>
              <w:pStyle w:val="Normal"/>
              <w:spacing w:lineRule="auto" w:line="240" w:before="0" w:after="0"/>
              <w:rPr>
                <w:rFonts w:ascii="Times New Roman" w:hAnsi="Times New Roman" w:eastAsia="Times New Roman" w:cs="Times New Roman"/>
                <w:color w:val="FF0000"/>
                <w:sz w:val="16"/>
                <w:szCs w:val="16"/>
                <w:lang w:eastAsia="es-ES"/>
              </w:rPr>
            </w:pPr>
            <w:r>
              <w:rPr>
                <w:rFonts w:eastAsia="Times New Roman" w:cs="Times New Roman" w:ascii="Times New Roman" w:hAnsi="Times New Roman"/>
                <w:color w:val="FF0000"/>
                <w:sz w:val="16"/>
                <w:szCs w:val="16"/>
                <w:lang w:eastAsia="es-ES"/>
              </w:rPr>
            </w:r>
          </w:p>
        </w:tc>
        <w:tc>
          <w:tcPr>
            <w:tcW w:w="1423" w:type="dxa"/>
            <w:tcBorders/>
            <w:shd w:fill="FFFFFF" w:val="clear"/>
            <w:vAlign w:val="bottom"/>
          </w:tcPr>
          <w:p>
            <w:pPr>
              <w:pStyle w:val="Normal"/>
              <w:spacing w:lineRule="auto" w:line="240" w:before="0" w:after="0"/>
              <w:rPr>
                <w:rFonts w:ascii="Times New Roman" w:hAnsi="Times New Roman" w:eastAsia="Times New Roman" w:cs="Times New Roman"/>
                <w:sz w:val="16"/>
                <w:szCs w:val="16"/>
                <w:lang w:eastAsia="es-ES"/>
              </w:rPr>
            </w:pPr>
            <w:r>
              <w:rPr>
                <w:rFonts w:eastAsia="Times New Roman" w:cs="Times New Roman" w:ascii="Times New Roman" w:hAnsi="Times New Roman"/>
                <w:sz w:val="16"/>
                <w:szCs w:val="16"/>
                <w:lang w:eastAsia="es-ES"/>
              </w:rPr>
            </w:r>
          </w:p>
        </w:tc>
      </w:tr>
      <w:tr>
        <w:trPr>
          <w:trHeight w:val="300" w:hRule="atLeast"/>
        </w:trPr>
        <w:tc>
          <w:tcPr>
            <w:tcW w:w="90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P9</w:t>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198,9</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832,2</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5,18E-16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2,61E-18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6,23E-19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53,3%</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voxelBig</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137,5</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553,8</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3,56E-16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6,43E-19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36,6%</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outVoxel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39,0</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150,6</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9,86E-17</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2,53E-18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6,55E-19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10,1%</w:t>
            </w:r>
          </w:p>
        </w:tc>
      </w:tr>
      <w:tr>
        <w:trPr>
          <w:trHeight w:val="300" w:hRule="atLeast"/>
        </w:trPr>
        <w:tc>
          <w:tcPr>
            <w:tcW w:w="90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c>
          <w:tcPr>
            <w:tcW w:w="1350" w:type="dxa"/>
            <w:tcBorders/>
            <w:shd w:fill="FFFFFF" w:val="clear"/>
            <w:vAlign w:val="bottom"/>
          </w:tcPr>
          <w:p>
            <w:pPr>
              <w:pStyle w:val="Normal"/>
              <w:spacing w:lineRule="auto" w:line="240" w:before="0" w:after="0"/>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TOTAL</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375,4</w:t>
            </w:r>
          </w:p>
        </w:tc>
        <w:tc>
          <w:tcPr>
            <w:tcW w:w="113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1536,6</w:t>
            </w:r>
          </w:p>
        </w:tc>
        <w:tc>
          <w:tcPr>
            <w:tcW w:w="1146"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9,73E-16</w:t>
            </w:r>
          </w:p>
        </w:tc>
        <w:tc>
          <w:tcPr>
            <w:tcW w:w="1050"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t>0,27</w:t>
            </w:r>
          </w:p>
        </w:tc>
        <w:tc>
          <w:tcPr>
            <w:tcW w:w="1168"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2,59E-18</w:t>
            </w:r>
          </w:p>
        </w:tc>
        <w:tc>
          <w:tcPr>
            <w:tcW w:w="1264" w:type="dxa"/>
            <w:tcBorders/>
            <w:shd w:fill="FFFFFF" w:val="clear"/>
            <w:vAlign w:val="bottom"/>
          </w:tcPr>
          <w:p>
            <w:pPr>
              <w:pStyle w:val="Normal"/>
              <w:spacing w:lineRule="auto" w:line="240" w:before="0" w:after="0"/>
              <w:jc w:val="right"/>
              <w:rPr>
                <w:rFonts w:ascii="Calibri" w:hAnsi="Calibri" w:eastAsia="Times New Roman" w:cs="Times New Roman"/>
                <w:color w:val="FF0000"/>
                <w:sz w:val="16"/>
                <w:szCs w:val="16"/>
                <w:lang w:eastAsia="es-ES"/>
              </w:rPr>
            </w:pPr>
            <w:r>
              <w:rPr>
                <w:rFonts w:eastAsia="Times New Roman" w:cs="Times New Roman"/>
                <w:color w:val="FF0000"/>
                <w:sz w:val="16"/>
                <w:szCs w:val="16"/>
                <w:lang w:eastAsia="es-ES"/>
              </w:rPr>
              <w:t>6,33E-19</w:t>
            </w:r>
          </w:p>
        </w:tc>
        <w:tc>
          <w:tcPr>
            <w:tcW w:w="1423" w:type="dxa"/>
            <w:tcBorders/>
            <w:shd w:fill="FFFFFF" w:val="clear"/>
            <w:vAlign w:val="bottom"/>
          </w:tcPr>
          <w:p>
            <w:pPr>
              <w:pStyle w:val="Normal"/>
              <w:spacing w:lineRule="auto" w:line="240" w:before="0" w:after="0"/>
              <w:jc w:val="right"/>
              <w:rPr>
                <w:rFonts w:ascii="Calibri" w:hAnsi="Calibri" w:eastAsia="Times New Roman" w:cs="Times New Roman"/>
                <w:color w:val="000000"/>
                <w:sz w:val="16"/>
                <w:szCs w:val="16"/>
                <w:lang w:eastAsia="es-ES"/>
              </w:rPr>
            </w:pPr>
            <w:r>
              <w:rPr>
                <w:rFonts w:eastAsia="Times New Roman" w:cs="Times New Roman"/>
                <w:color w:val="000000"/>
                <w:sz w:val="16"/>
                <w:szCs w:val="16"/>
                <w:lang w:eastAsia="es-ES"/>
              </w:rPr>
            </w:r>
          </w:p>
        </w:tc>
      </w:tr>
    </w:tbl>
    <w:p>
      <w:pPr>
        <w:pStyle w:val="ListParagraph"/>
        <w:ind w:left="0" w:right="0" w:hanging="0"/>
        <w:jc w:val="both"/>
        <w:rPr>
          <w:b/>
          <w:b/>
          <w:lang w:val="en-US"/>
        </w:rPr>
      </w:pPr>
      <w:r>
        <w:rPr>
          <w:b/>
          <w:lang w:val="en-US"/>
        </w:rPr>
      </w:r>
    </w:p>
    <w:p>
      <w:pPr>
        <w:pStyle w:val="ListParagraph"/>
        <w:ind w:left="0" w:right="0" w:hanging="0"/>
        <w:jc w:val="both"/>
        <w:rPr>
          <w:b/>
          <w:b/>
          <w:lang w:val="en-US"/>
        </w:rPr>
      </w:pPr>
      <w:r>
        <w:rPr>
          <w:b/>
          <w:lang w:val="en-US"/>
        </w:rPr>
      </w:r>
    </w:p>
    <w:p>
      <w:pPr>
        <w:pStyle w:val="ListParagraph"/>
        <w:ind w:left="0" w:right="0" w:hanging="0"/>
        <w:jc w:val="both"/>
        <w:rPr>
          <w:b/>
          <w:b/>
          <w:lang w:val="en-US"/>
        </w:rPr>
      </w:pPr>
      <w:r>
        <w:rPr>
          <w:b/>
          <w:lang w:val="en-US"/>
        </w:rPr>
        <w:t>Conclusion</w:t>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t>The ratio between the number of attachments and the dose or the number of neutral dissociations and the dose is very similar at all points.</w:t>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r>
    </w:p>
    <w:p>
      <w:pPr>
        <w:pStyle w:val="ListParagraph"/>
        <w:ind w:left="0" w:right="0" w:hanging="0"/>
        <w:jc w:val="both"/>
        <w:rPr>
          <w:lang w:val="en-US"/>
        </w:rPr>
      </w:pPr>
      <w:r>
        <w:rPr>
          <w:lang w:val="en-US"/>
        </w:rPr>
        <w:t xml:space="preserve">Appendix A: Comparison between the dose in the voxels with LEPTS and with Livermore </w:t>
      </w:r>
    </w:p>
    <w:tbl>
      <w:tblPr>
        <w:tblW w:w="6386" w:type="dxa"/>
        <w:jc w:val="left"/>
        <w:tblInd w:w="70" w:type="dxa"/>
        <w:tblBorders/>
        <w:tblCellMar>
          <w:top w:w="0" w:type="dxa"/>
          <w:left w:w="70" w:type="dxa"/>
          <w:bottom w:w="0" w:type="dxa"/>
          <w:right w:w="70" w:type="dxa"/>
        </w:tblCellMar>
      </w:tblPr>
      <w:tblGrid>
        <w:gridCol w:w="1216"/>
        <w:gridCol w:w="1666"/>
        <w:gridCol w:w="1982"/>
        <w:gridCol w:w="1522"/>
      </w:tblGrid>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 xml:space="preserve">Voxel </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DOSE LEPTS</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DOSE Livermore</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RATIO</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P1</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2,56E-14</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2,98E-14</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1,16</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P2</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2,15E-14</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2,02E-14</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0,94</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P3</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1,10E-14</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1,15E-14</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1,04</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P4</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6,93E-15</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6,66E-15</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0,96</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P5</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1,91E-14</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P6</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2,67E-15</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1,91E-15</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0,71</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P7</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1,09E-15</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1,18E-15</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1,09</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P8</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6,13E-16</w:t>
            </w:r>
          </w:p>
        </w:tc>
        <w:tc>
          <w:tcPr>
            <w:tcW w:w="1982" w:type="dxa"/>
            <w:tcBorders/>
            <w:shd w:fill="FFFFFF" w:val="clear"/>
            <w:vAlign w:val="bottom"/>
          </w:tcPr>
          <w:p>
            <w:pPr>
              <w:pStyle w:val="Normal"/>
              <w:spacing w:lineRule="auto" w:line="240" w:before="0" w:after="0"/>
              <w:rPr/>
            </w:pPr>
            <w:r>
              <w:rPr>
                <w:rFonts w:eastAsia="Times New Roman" w:cs="Times New Roman"/>
                <w:color w:val="000000"/>
                <w:lang w:eastAsia="es-ES"/>
              </w:rPr>
              <w:t>6,2</w:t>
            </w:r>
            <w:bookmarkStart w:id="0" w:name="_GoBack"/>
            <w:bookmarkEnd w:id="0"/>
            <w:r>
              <w:rPr>
                <w:rFonts w:eastAsia="Times New Roman" w:cs="Times New Roman"/>
                <w:color w:val="000000"/>
                <w:lang w:eastAsia="es-ES"/>
              </w:rPr>
              <w:t>9E-16</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1,03</w:t>
            </w:r>
          </w:p>
        </w:tc>
      </w:tr>
      <w:tr>
        <w:trPr>
          <w:trHeight w:val="300" w:hRule="atLeast"/>
        </w:trPr>
        <w:tc>
          <w:tcPr>
            <w:tcW w:w="121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P9</w:t>
            </w:r>
          </w:p>
        </w:tc>
        <w:tc>
          <w:tcPr>
            <w:tcW w:w="1666"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2,92E-16</w:t>
            </w:r>
          </w:p>
        </w:tc>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2,78E-16</w:t>
            </w:r>
          </w:p>
        </w:tc>
        <w:tc>
          <w:tcPr>
            <w:tcW w:w="152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0,95</w:t>
            </w:r>
          </w:p>
        </w:tc>
      </w:tr>
    </w:tbl>
    <w:p>
      <w:pPr>
        <w:pStyle w:val="ListParagraph"/>
        <w:ind w:left="0" w:right="0" w:hanging="0"/>
        <w:jc w:val="both"/>
        <w:rPr>
          <w:color w:val="000000"/>
          <w:lang w:val="en-US"/>
        </w:rPr>
      </w:pPr>
      <w:r>
        <w:rPr>
          <w:color w:val="000000"/>
          <w:lang w:val="en-US"/>
        </w:rPr>
      </w:r>
    </w:p>
    <w:p>
      <w:pPr>
        <w:pStyle w:val="ListParagraph"/>
        <w:ind w:left="0" w:right="0" w:hanging="0"/>
        <w:jc w:val="both"/>
        <w:rPr>
          <w:lang w:val="en-US"/>
        </w:rPr>
      </w:pPr>
      <w:r>
        <w:rPr>
          <w:lang w:val="en-US"/>
        </w:rPr>
      </w:r>
    </w:p>
    <w:p>
      <w:pPr>
        <w:pStyle w:val="Normal"/>
        <w:jc w:val="both"/>
        <w:rPr>
          <w:lang w:val="en-US"/>
        </w:rPr>
      </w:pPr>
      <w:r>
        <w:rPr>
          <w:lang w:val="en-US"/>
        </w:rPr>
        <w:t>Appendix B: maximum reach of an electron or its secondaries vs. the initial electron energy</w:t>
      </w:r>
    </w:p>
    <w:tbl>
      <w:tblPr>
        <w:tblW w:w="5850" w:type="dxa"/>
        <w:jc w:val="left"/>
        <w:tblInd w:w="70" w:type="dxa"/>
        <w:tblBorders/>
        <w:tblCellMar>
          <w:top w:w="0" w:type="dxa"/>
          <w:left w:w="70" w:type="dxa"/>
          <w:bottom w:w="0" w:type="dxa"/>
          <w:right w:w="70" w:type="dxa"/>
        </w:tblCellMar>
      </w:tblPr>
      <w:tblGrid>
        <w:gridCol w:w="1982"/>
        <w:gridCol w:w="3868"/>
      </w:tblGrid>
      <w:tr>
        <w:trPr>
          <w:trHeight w:val="300" w:hRule="atLeast"/>
        </w:trPr>
        <w:tc>
          <w:tcPr>
            <w:tcW w:w="1982"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Energy(MeV)</w:t>
            </w:r>
          </w:p>
        </w:tc>
        <w:tc>
          <w:tcPr>
            <w:tcW w:w="3868" w:type="dxa"/>
            <w:tcBorders/>
            <w:shd w:fill="FFFFFF" w:val="clear"/>
            <w:vAlign w:val="bottom"/>
          </w:tcPr>
          <w:p>
            <w:pPr>
              <w:pStyle w:val="Normal"/>
              <w:spacing w:lineRule="auto" w:line="240" w:before="0" w:after="0"/>
              <w:rPr>
                <w:rFonts w:ascii="Calibri" w:hAnsi="Calibri" w:eastAsia="Times New Roman" w:cs="Times New Roman"/>
                <w:color w:val="000000"/>
                <w:lang w:eastAsia="es-ES"/>
              </w:rPr>
            </w:pPr>
            <w:r>
              <w:rPr>
                <w:rFonts w:eastAsia="Times New Roman" w:cs="Times New Roman"/>
                <w:color w:val="000000"/>
                <w:lang w:eastAsia="es-ES"/>
              </w:rPr>
              <w:t>Max Range(cm)</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0.01</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0,00045</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0.05</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0,008</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0.1</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0,028</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0.2</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0,084</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0.5</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0,45</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1</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0,95</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2</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2</w:t>
            </w:r>
          </w:p>
        </w:tc>
      </w:tr>
      <w:tr>
        <w:trPr>
          <w:trHeight w:val="300" w:hRule="atLeast"/>
        </w:trPr>
        <w:tc>
          <w:tcPr>
            <w:tcW w:w="1982"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3.99</w:t>
            </w:r>
          </w:p>
        </w:tc>
        <w:tc>
          <w:tcPr>
            <w:tcW w:w="3868" w:type="dxa"/>
            <w:tcBorders/>
            <w:shd w:fill="FFFFFF" w:val="clear"/>
            <w:vAlign w:val="bottom"/>
          </w:tcPr>
          <w:p>
            <w:pPr>
              <w:pStyle w:val="Normal"/>
              <w:spacing w:lineRule="auto" w:line="240" w:before="0" w:after="0"/>
              <w:jc w:val="center"/>
              <w:rPr>
                <w:rFonts w:ascii="Calibri" w:hAnsi="Calibri" w:eastAsia="Times New Roman" w:cs="Times New Roman"/>
                <w:color w:val="000000"/>
                <w:lang w:eastAsia="es-ES"/>
              </w:rPr>
            </w:pPr>
            <w:r>
              <w:rPr>
                <w:rFonts w:eastAsia="Times New Roman" w:cs="Times New Roman"/>
                <w:color w:val="000000"/>
                <w:lang w:eastAsia="es-ES"/>
              </w:rPr>
              <w:t>4,4</w:t>
            </w:r>
          </w:p>
        </w:tc>
      </w:tr>
    </w:tbl>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olor w:val="auto"/>
      <w:sz w:val="22"/>
      <w:szCs w:val="22"/>
      <w:lang w:val="es-E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Calibri" w:cs="Times New Roman"/>
      <w:sz w:val="24"/>
      <w:szCs w:val="24"/>
      <w:lang w:eastAsia="es-E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936</TotalTime>
  <Application>LibreOffice/4.4.2.2$Linux_X86_64 LibreOffice_project/40m0$Build-2</Application>
  <Paragraphs>359</Paragraphs>
  <Company>CIEMAT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2015-06-16T11:14:00Z</dcterms:created>
  <dc:creator>Administrador</dc:creator>
  <dc:language>en-US</dc:language>
  <dcterms:modified xsi:type="dcterms:W3CDTF">2015-07-02T10:17:12Z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CIEMAT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