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DF3C7" w14:textId="77777777" w:rsidR="004531D3" w:rsidRPr="00172C95" w:rsidRDefault="004531D3" w:rsidP="004531D3">
      <w:pPr>
        <w:pStyle w:val="Ttulo3"/>
        <w:keepNext w:val="0"/>
        <w:keepLines w:val="0"/>
        <w:spacing w:before="120" w:after="120" w:line="360" w:lineRule="auto"/>
        <w:jc w:val="both"/>
        <w:rPr>
          <w:rFonts w:ascii="Calibri Light" w:eastAsia="Arial" w:hAnsi="Calibri Light" w:cs="Calibri Light"/>
          <w:sz w:val="24"/>
          <w:szCs w:val="24"/>
        </w:rPr>
      </w:pPr>
      <w:r w:rsidRPr="008F7FBA">
        <w:rPr>
          <w:rFonts w:ascii="Calibri Light" w:eastAsia="Arial" w:hAnsi="Calibri Light" w:cs="Calibri Light"/>
          <w:sz w:val="24"/>
          <w:szCs w:val="24"/>
        </w:rPr>
        <w:t xml:space="preserve">. </w:t>
      </w:r>
      <w:r w:rsidRPr="004531D3">
        <w:rPr>
          <w:rFonts w:ascii="Calibri Light" w:eastAsia="Arial" w:hAnsi="Calibri Light" w:cs="Calibri Light"/>
          <w:sz w:val="24"/>
          <w:szCs w:val="24"/>
        </w:rPr>
        <w:t>Resultados cuantitativos del contenido de los capítulos: ocurrencia de las menciones</w:t>
      </w:r>
      <w:r w:rsidRPr="00DD5E18">
        <w:rPr>
          <w:noProof/>
          <w:color w:val="7F7F7F" w:themeColor="text1" w:themeTint="80"/>
        </w:rPr>
        <w:drawing>
          <wp:anchor distT="0" distB="0" distL="114300" distR="114300" simplePos="0" relativeHeight="251659264" behindDoc="0" locked="0" layoutInCell="1" allowOverlap="1" wp14:anchorId="338D98AC" wp14:editId="5A26D63A">
            <wp:simplePos x="0" y="0"/>
            <wp:positionH relativeFrom="margin">
              <wp:posOffset>0</wp:posOffset>
            </wp:positionH>
            <wp:positionV relativeFrom="paragraph">
              <wp:posOffset>358140</wp:posOffset>
            </wp:positionV>
            <wp:extent cx="5692140" cy="3200400"/>
            <wp:effectExtent l="0" t="0" r="3810" b="0"/>
            <wp:wrapSquare wrapText="bothSides"/>
            <wp:docPr id="1319753323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  <wp14:sizeRelH relativeFrom="margin">
              <wp14:pctWidth>0</wp14:pctWidth>
            </wp14:sizeRelH>
          </wp:anchor>
        </w:drawing>
      </w:r>
    </w:p>
    <w:p w14:paraId="114E1620" w14:textId="77777777" w:rsidR="004531D3" w:rsidRDefault="004531D3" w:rsidP="004531D3">
      <w:pPr>
        <w:spacing w:before="120" w:after="120" w:line="360" w:lineRule="auto"/>
        <w:rPr>
          <w:sz w:val="24"/>
          <w:szCs w:val="24"/>
        </w:rPr>
      </w:pPr>
    </w:p>
    <w:p w14:paraId="7BB394C6" w14:textId="77777777" w:rsidR="004531D3" w:rsidRDefault="004531D3" w:rsidP="004531D3">
      <w:pPr>
        <w:spacing w:before="120" w:after="120" w:line="360" w:lineRule="auto"/>
        <w:jc w:val="center"/>
        <w:rPr>
          <w:sz w:val="24"/>
          <w:szCs w:val="24"/>
        </w:rPr>
      </w:pPr>
      <w:r w:rsidRPr="00DD5E18">
        <w:rPr>
          <w:sz w:val="24"/>
          <w:szCs w:val="24"/>
        </w:rPr>
        <w:t xml:space="preserve">Figura </w:t>
      </w:r>
      <w:r>
        <w:rPr>
          <w:sz w:val="24"/>
          <w:szCs w:val="24"/>
        </w:rPr>
        <w:t>23</w:t>
      </w:r>
      <w:r w:rsidRPr="00DD5E18">
        <w:rPr>
          <w:sz w:val="24"/>
          <w:szCs w:val="24"/>
        </w:rPr>
        <w:t>.</w:t>
      </w:r>
      <w:r>
        <w:rPr>
          <w:sz w:val="24"/>
          <w:szCs w:val="24"/>
        </w:rPr>
        <w:t xml:space="preserve"> Localidades con mayor número de menciones en los 15 relatos de viaje. Se indica con le letra “C” entre paréntesis aquellas que son capitales de provincia.</w:t>
      </w:r>
    </w:p>
    <w:p w14:paraId="335F7740" w14:textId="77777777" w:rsidR="004531D3" w:rsidRPr="00DD5E18" w:rsidRDefault="004531D3" w:rsidP="004531D3">
      <w:pPr>
        <w:spacing w:before="120" w:after="120" w:line="360" w:lineRule="auto"/>
      </w:pPr>
      <w:r w:rsidRPr="00DD5E18">
        <w:rPr>
          <w:noProof/>
          <w:color w:val="7F7F7F" w:themeColor="text1" w:themeTint="80"/>
        </w:rPr>
        <w:drawing>
          <wp:anchor distT="0" distB="0" distL="114300" distR="114300" simplePos="0" relativeHeight="251660288" behindDoc="0" locked="0" layoutInCell="1" allowOverlap="1" wp14:anchorId="1EF548F3" wp14:editId="42FC5437">
            <wp:simplePos x="0" y="0"/>
            <wp:positionH relativeFrom="margin">
              <wp:posOffset>0</wp:posOffset>
            </wp:positionH>
            <wp:positionV relativeFrom="paragraph">
              <wp:posOffset>312420</wp:posOffset>
            </wp:positionV>
            <wp:extent cx="5692140" cy="3200400"/>
            <wp:effectExtent l="0" t="0" r="3810" b="0"/>
            <wp:wrapSquare wrapText="bothSides"/>
            <wp:docPr id="335131917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  <wp14:sizeRelH relativeFrom="margin">
              <wp14:pctWidth>0</wp14:pctWidth>
            </wp14:sizeRelH>
          </wp:anchor>
        </w:drawing>
      </w:r>
    </w:p>
    <w:p w14:paraId="706EADE2" w14:textId="77777777" w:rsidR="004531D3" w:rsidRDefault="004531D3" w:rsidP="004531D3">
      <w:pPr>
        <w:spacing w:before="120" w:after="120" w:line="360" w:lineRule="auto"/>
        <w:jc w:val="center"/>
        <w:rPr>
          <w:sz w:val="24"/>
          <w:szCs w:val="24"/>
        </w:rPr>
      </w:pPr>
    </w:p>
    <w:p w14:paraId="6111BCEC" w14:textId="77777777" w:rsidR="004531D3" w:rsidRDefault="004531D3" w:rsidP="004531D3">
      <w:pPr>
        <w:spacing w:before="120" w:after="120" w:line="360" w:lineRule="auto"/>
        <w:jc w:val="center"/>
        <w:rPr>
          <w:sz w:val="24"/>
          <w:szCs w:val="24"/>
        </w:rPr>
      </w:pPr>
      <w:r w:rsidRPr="00DD5E18">
        <w:rPr>
          <w:sz w:val="24"/>
          <w:szCs w:val="24"/>
        </w:rPr>
        <w:t xml:space="preserve">Figura </w:t>
      </w:r>
      <w:r>
        <w:rPr>
          <w:sz w:val="24"/>
          <w:szCs w:val="24"/>
        </w:rPr>
        <w:t>24</w:t>
      </w:r>
      <w:r w:rsidRPr="00DD5E18">
        <w:rPr>
          <w:sz w:val="24"/>
          <w:szCs w:val="24"/>
        </w:rPr>
        <w:t>.</w:t>
      </w:r>
      <w:r>
        <w:rPr>
          <w:sz w:val="24"/>
          <w:szCs w:val="24"/>
        </w:rPr>
        <w:t xml:space="preserve"> Elementos materiales del patrimonio con mayor número de menciones en los 15 relatos de viaje. Se indica entre paréntesis su subcategoría.</w:t>
      </w:r>
    </w:p>
    <w:p w14:paraId="00899376" w14:textId="77777777" w:rsidR="004531D3" w:rsidRDefault="004531D3" w:rsidP="004531D3">
      <w:pPr>
        <w:spacing w:before="120" w:after="120" w:line="360" w:lineRule="auto"/>
        <w:jc w:val="center"/>
        <w:rPr>
          <w:sz w:val="24"/>
          <w:szCs w:val="24"/>
        </w:rPr>
      </w:pPr>
      <w:r w:rsidRPr="00DD5E18">
        <w:rPr>
          <w:noProof/>
          <w:color w:val="7F7F7F" w:themeColor="text1" w:themeTint="80"/>
        </w:rPr>
        <w:lastRenderedPageBreak/>
        <w:drawing>
          <wp:anchor distT="0" distB="0" distL="114300" distR="114300" simplePos="0" relativeHeight="251661312" behindDoc="0" locked="0" layoutInCell="1" allowOverlap="1" wp14:anchorId="653795D3" wp14:editId="207BA34F">
            <wp:simplePos x="0" y="0"/>
            <wp:positionH relativeFrom="margin">
              <wp:posOffset>0</wp:posOffset>
            </wp:positionH>
            <wp:positionV relativeFrom="paragraph">
              <wp:posOffset>403860</wp:posOffset>
            </wp:positionV>
            <wp:extent cx="5692140" cy="3200400"/>
            <wp:effectExtent l="0" t="0" r="3810" b="0"/>
            <wp:wrapSquare wrapText="bothSides"/>
            <wp:docPr id="1100273168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</wp:anchor>
        </w:drawing>
      </w:r>
    </w:p>
    <w:p w14:paraId="38EAD4A8" w14:textId="77777777" w:rsidR="004531D3" w:rsidRDefault="004531D3" w:rsidP="004531D3">
      <w:pPr>
        <w:spacing w:before="120" w:after="120" w:line="360" w:lineRule="auto"/>
        <w:jc w:val="center"/>
        <w:rPr>
          <w:sz w:val="24"/>
          <w:szCs w:val="24"/>
        </w:rPr>
      </w:pPr>
    </w:p>
    <w:p w14:paraId="23ED131E" w14:textId="77777777" w:rsidR="004531D3" w:rsidRDefault="004531D3" w:rsidP="004531D3">
      <w:pPr>
        <w:spacing w:before="120" w:after="120" w:line="360" w:lineRule="auto"/>
        <w:jc w:val="center"/>
        <w:rPr>
          <w:sz w:val="24"/>
          <w:szCs w:val="24"/>
        </w:rPr>
      </w:pPr>
      <w:r w:rsidRPr="00DD5E18">
        <w:rPr>
          <w:sz w:val="24"/>
          <w:szCs w:val="24"/>
        </w:rPr>
        <w:t xml:space="preserve">Figura </w:t>
      </w:r>
      <w:r>
        <w:rPr>
          <w:sz w:val="24"/>
          <w:szCs w:val="24"/>
        </w:rPr>
        <w:t>25</w:t>
      </w:r>
      <w:r w:rsidRPr="00DD5E18">
        <w:rPr>
          <w:sz w:val="24"/>
          <w:szCs w:val="24"/>
        </w:rPr>
        <w:t>.</w:t>
      </w:r>
      <w:r>
        <w:rPr>
          <w:sz w:val="24"/>
          <w:szCs w:val="24"/>
        </w:rPr>
        <w:t xml:space="preserve"> Elementos inmateriales del patrimonio con mayor número de menciones en los 15 relatos de viaje. Se indica entre paréntesis su subcategoría.</w:t>
      </w:r>
    </w:p>
    <w:p w14:paraId="59031BEC" w14:textId="77777777" w:rsidR="004531D3" w:rsidRDefault="004531D3" w:rsidP="004531D3">
      <w:pPr>
        <w:spacing w:before="120" w:after="120" w:line="360" w:lineRule="auto"/>
        <w:jc w:val="center"/>
        <w:rPr>
          <w:sz w:val="24"/>
          <w:szCs w:val="24"/>
        </w:rPr>
      </w:pPr>
      <w:r w:rsidRPr="00DD5E18">
        <w:rPr>
          <w:noProof/>
          <w:color w:val="7F7F7F" w:themeColor="text1" w:themeTint="80"/>
        </w:rPr>
        <w:drawing>
          <wp:anchor distT="0" distB="0" distL="114300" distR="114300" simplePos="0" relativeHeight="251662336" behindDoc="0" locked="0" layoutInCell="1" allowOverlap="1" wp14:anchorId="4234D781" wp14:editId="2CF30536">
            <wp:simplePos x="0" y="0"/>
            <wp:positionH relativeFrom="margin">
              <wp:align>right</wp:align>
            </wp:positionH>
            <wp:positionV relativeFrom="paragraph">
              <wp:posOffset>353060</wp:posOffset>
            </wp:positionV>
            <wp:extent cx="5753100" cy="3200400"/>
            <wp:effectExtent l="0" t="0" r="0" b="0"/>
            <wp:wrapSquare wrapText="bothSides"/>
            <wp:docPr id="993761603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</wp:anchor>
        </w:drawing>
      </w:r>
    </w:p>
    <w:p w14:paraId="67530526" w14:textId="77777777" w:rsidR="004531D3" w:rsidRDefault="004531D3" w:rsidP="004531D3">
      <w:pPr>
        <w:spacing w:before="120" w:after="120" w:line="360" w:lineRule="auto"/>
        <w:jc w:val="center"/>
        <w:rPr>
          <w:sz w:val="24"/>
          <w:szCs w:val="24"/>
        </w:rPr>
      </w:pPr>
    </w:p>
    <w:p w14:paraId="76F96987" w14:textId="67512169" w:rsidR="004531D3" w:rsidRDefault="004531D3" w:rsidP="004531D3">
      <w:pPr>
        <w:spacing w:before="120" w:after="120" w:line="360" w:lineRule="auto"/>
        <w:jc w:val="center"/>
        <w:rPr>
          <w:sz w:val="24"/>
          <w:szCs w:val="24"/>
        </w:rPr>
      </w:pPr>
      <w:r w:rsidRPr="00DD5E18">
        <w:rPr>
          <w:sz w:val="24"/>
          <w:szCs w:val="24"/>
        </w:rPr>
        <w:lastRenderedPageBreak/>
        <w:t xml:space="preserve">Figura </w:t>
      </w:r>
      <w:r>
        <w:rPr>
          <w:sz w:val="24"/>
          <w:szCs w:val="24"/>
        </w:rPr>
        <w:t>26</w:t>
      </w:r>
      <w:r w:rsidRPr="00DD5E18">
        <w:rPr>
          <w:sz w:val="24"/>
          <w:szCs w:val="24"/>
        </w:rPr>
        <w:t>.</w:t>
      </w:r>
      <w:r>
        <w:rPr>
          <w:sz w:val="24"/>
          <w:szCs w:val="24"/>
        </w:rPr>
        <w:t xml:space="preserve"> Espacios monumentales</w:t>
      </w:r>
      <w:r>
        <w:rPr>
          <w:sz w:val="24"/>
          <w:szCs w:val="24"/>
        </w:rPr>
        <w:t xml:space="preserve"> y naturales</w:t>
      </w:r>
      <w:r>
        <w:rPr>
          <w:sz w:val="24"/>
          <w:szCs w:val="24"/>
        </w:rPr>
        <w:t xml:space="preserve"> propios con mayor número de menciones en los 15 relatos de viaje. Se indica entre paréntesis su subcategoría.</w:t>
      </w:r>
    </w:p>
    <w:p w14:paraId="5952615E" w14:textId="77777777" w:rsidR="004531D3" w:rsidRDefault="004531D3" w:rsidP="004531D3">
      <w:pPr>
        <w:spacing w:before="120" w:after="120"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368B5A0" wp14:editId="030C85E9">
            <wp:extent cx="5486400" cy="3200400"/>
            <wp:effectExtent l="0" t="0" r="0" b="0"/>
            <wp:docPr id="823728760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86E40C5" w14:textId="77777777" w:rsidR="004531D3" w:rsidRDefault="004531D3" w:rsidP="004531D3">
      <w:pPr>
        <w:spacing w:before="120" w:after="12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Figura 27. Menciones totales por categoría en los 15 relatos de viaje.</w:t>
      </w:r>
    </w:p>
    <w:p w14:paraId="48B79571" w14:textId="77777777" w:rsidR="004531D3" w:rsidRDefault="004531D3" w:rsidP="004531D3">
      <w:pPr>
        <w:spacing w:before="120" w:after="120"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279E1C9" wp14:editId="569D1564">
            <wp:extent cx="5486400" cy="3200400"/>
            <wp:effectExtent l="0" t="0" r="0" b="0"/>
            <wp:docPr id="205098409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5ECDBA7" w14:textId="77777777" w:rsidR="004531D3" w:rsidRDefault="004531D3" w:rsidP="004531D3">
      <w:pPr>
        <w:spacing w:before="120" w:after="12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Figura 28. Menciones totales por categoría de localidad en los 15 relatos de viaje.</w:t>
      </w:r>
    </w:p>
    <w:p w14:paraId="2AB37A13" w14:textId="77777777" w:rsidR="004531D3" w:rsidRDefault="004531D3" w:rsidP="004531D3">
      <w:pPr>
        <w:spacing w:before="120" w:after="120"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346A5AE" wp14:editId="384ED369">
            <wp:extent cx="5486400" cy="3200400"/>
            <wp:effectExtent l="0" t="0" r="0" b="0"/>
            <wp:docPr id="1135234801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25EEDAA" w14:textId="77777777" w:rsidR="004531D3" w:rsidRDefault="004531D3" w:rsidP="004531D3">
      <w:pPr>
        <w:spacing w:before="120" w:after="12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Figura 28. Menciones totales por categoría de patrimonio material en los 15 relatos de viaje.</w:t>
      </w:r>
    </w:p>
    <w:p w14:paraId="4ED06687" w14:textId="77777777" w:rsidR="004531D3" w:rsidRDefault="004531D3" w:rsidP="004531D3">
      <w:pPr>
        <w:spacing w:before="120" w:after="120"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3113CC2" wp14:editId="0754C19C">
            <wp:extent cx="5486400" cy="3200400"/>
            <wp:effectExtent l="0" t="0" r="0" b="0"/>
            <wp:docPr id="226460279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BFA25BB" w14:textId="77777777" w:rsidR="004531D3" w:rsidRDefault="004531D3" w:rsidP="004531D3">
      <w:pPr>
        <w:spacing w:before="120" w:after="12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Figura 29. Menciones totales por categoría de patrimonio inmaterial en los 15 relatos de viaje.</w:t>
      </w:r>
    </w:p>
    <w:p w14:paraId="368644DC" w14:textId="77777777" w:rsidR="004531D3" w:rsidRDefault="004531D3" w:rsidP="004531D3">
      <w:pPr>
        <w:spacing w:before="120" w:after="120" w:line="360" w:lineRule="auto"/>
        <w:jc w:val="center"/>
        <w:rPr>
          <w:sz w:val="24"/>
          <w:szCs w:val="24"/>
        </w:rPr>
      </w:pPr>
    </w:p>
    <w:p w14:paraId="580C822A" w14:textId="77777777" w:rsidR="004531D3" w:rsidRDefault="004531D3" w:rsidP="004531D3">
      <w:pPr>
        <w:spacing w:before="120" w:after="120" w:line="360" w:lineRule="auto"/>
        <w:jc w:val="center"/>
        <w:rPr>
          <w:sz w:val="24"/>
          <w:szCs w:val="24"/>
        </w:rPr>
      </w:pPr>
    </w:p>
    <w:p w14:paraId="72EA61B7" w14:textId="77777777" w:rsidR="004531D3" w:rsidRDefault="004531D3" w:rsidP="004531D3">
      <w:pPr>
        <w:spacing w:before="120" w:after="120" w:line="360" w:lineRule="auto"/>
        <w:jc w:val="center"/>
        <w:rPr>
          <w:sz w:val="24"/>
          <w:szCs w:val="24"/>
        </w:rPr>
      </w:pPr>
    </w:p>
    <w:p w14:paraId="24B3AF3B" w14:textId="77777777" w:rsidR="004531D3" w:rsidRDefault="004531D3" w:rsidP="004531D3">
      <w:pPr>
        <w:spacing w:before="120" w:after="120"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9943D0F" wp14:editId="26F75BEA">
            <wp:extent cx="5486400" cy="3200400"/>
            <wp:effectExtent l="0" t="0" r="0" b="0"/>
            <wp:docPr id="1024320245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1C5626C1" w14:textId="77777777" w:rsidR="004531D3" w:rsidRDefault="004531D3" w:rsidP="004531D3">
      <w:pPr>
        <w:spacing w:before="120" w:after="12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Figura 30. Distribución de la tipología de patrimonio por relato. 1900-1905</w:t>
      </w:r>
    </w:p>
    <w:p w14:paraId="3019760F" w14:textId="77777777" w:rsidR="004531D3" w:rsidRDefault="004531D3" w:rsidP="004531D3">
      <w:pPr>
        <w:spacing w:before="120" w:after="120"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A8DF652" wp14:editId="332FB195">
            <wp:extent cx="5486400" cy="3200400"/>
            <wp:effectExtent l="0" t="0" r="0" b="0"/>
            <wp:docPr id="835586590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5BD2DCEA" w14:textId="77777777" w:rsidR="004531D3" w:rsidRDefault="004531D3" w:rsidP="004531D3">
      <w:pPr>
        <w:spacing w:before="120" w:after="12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Figura 31. Distribución de la tipología de patrimonio por relato. 1906-1910</w:t>
      </w:r>
    </w:p>
    <w:p w14:paraId="4371D114" w14:textId="77777777" w:rsidR="004531D3" w:rsidRDefault="004531D3" w:rsidP="004531D3">
      <w:pPr>
        <w:spacing w:before="120" w:after="120" w:line="360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7BC7C77" wp14:editId="24FFCB2E">
            <wp:extent cx="5486400" cy="3200400"/>
            <wp:effectExtent l="0" t="0" r="0" b="0"/>
            <wp:docPr id="72285518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006EBE77" w14:textId="77777777" w:rsidR="004531D3" w:rsidRDefault="004531D3" w:rsidP="004531D3">
      <w:pPr>
        <w:spacing w:before="120" w:after="12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Figura 32. Distribución de la tipología de patrimonio por relato. 1911-1914</w:t>
      </w:r>
    </w:p>
    <w:p w14:paraId="637846E9" w14:textId="77777777" w:rsidR="00C64721" w:rsidRDefault="00C64721"/>
    <w:sectPr w:rsidR="00C647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721"/>
    <w:rsid w:val="00110F67"/>
    <w:rsid w:val="004531D3"/>
    <w:rsid w:val="00C64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B23E5"/>
  <w15:chartTrackingRefBased/>
  <w15:docId w15:val="{30831A63-13E1-4CE5-B4EC-DFD089B69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1D3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6472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ES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472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ES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6472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ES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472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s-ES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472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s-ES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472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ES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472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ES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472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ES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472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ES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4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4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4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472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472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47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47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47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47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4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C64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4721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S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C64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4721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ES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C647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4721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ES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C6472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4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s-ES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472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47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13" Type="http://schemas.openxmlformats.org/officeDocument/2006/relationships/chart" Target="charts/chart10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12" Type="http://schemas.openxmlformats.org/officeDocument/2006/relationships/chart" Target="charts/chart9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openxmlformats.org/officeDocument/2006/relationships/chart" Target="charts/chart8.xml"/><Relationship Id="rId5" Type="http://schemas.openxmlformats.org/officeDocument/2006/relationships/chart" Target="charts/chart2.xml"/><Relationship Id="rId15" Type="http://schemas.openxmlformats.org/officeDocument/2006/relationships/fontTable" Target="fontTable.xml"/><Relationship Id="rId10" Type="http://schemas.openxmlformats.org/officeDocument/2006/relationships/chart" Target="charts/chart7.xml"/><Relationship Id="rId4" Type="http://schemas.openxmlformats.org/officeDocument/2006/relationships/chart" Target="charts/chart1.xml"/><Relationship Id="rId9" Type="http://schemas.openxmlformats.org/officeDocument/2006/relationships/chart" Target="charts/chart6.xml"/><Relationship Id="rId14" Type="http://schemas.openxmlformats.org/officeDocument/2006/relationships/chart" Target="charts/chart1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0.xlsx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8"/>
    </mc:Choice>
    <mc:Fallback>
      <c:style val="8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/>
              <a:t>Ocurrencia de los municipios andaluces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Mayor número de menciones en los relatos de viaje</c:v>
                </c:pt>
              </c:strCache>
            </c:strRef>
          </c:tx>
          <c:spPr>
            <a:gradFill rotWithShape="1">
              <a:gsLst>
                <a:gs pos="0">
                  <a:schemeClr val="accent6">
                    <a:tint val="100000"/>
                    <a:shade val="100000"/>
                    <a:satMod val="130000"/>
                  </a:schemeClr>
                </a:gs>
                <a:gs pos="100000">
                  <a:schemeClr val="accent6">
                    <a:tint val="50000"/>
                    <a:shade val="100000"/>
                    <a:satMod val="350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E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Hoja1!$A$2:$A$11</c:f>
              <c:strCache>
                <c:ptCount val="10"/>
                <c:pt idx="0">
                  <c:v>Sevilla (C)</c:v>
                </c:pt>
                <c:pt idx="1">
                  <c:v>Granada (C)</c:v>
                </c:pt>
                <c:pt idx="2">
                  <c:v>Córdoba (C)</c:v>
                </c:pt>
                <c:pt idx="3">
                  <c:v>Andalucía (conjunto)</c:v>
                </c:pt>
                <c:pt idx="4">
                  <c:v>Ronda </c:v>
                </c:pt>
                <c:pt idx="5">
                  <c:v>Cádiz (C)</c:v>
                </c:pt>
                <c:pt idx="6">
                  <c:v>Málaga (C)</c:v>
                </c:pt>
                <c:pt idx="7">
                  <c:v>Algeciras</c:v>
                </c:pt>
                <c:pt idx="8">
                  <c:v>Jerez</c:v>
                </c:pt>
                <c:pt idx="9">
                  <c:v>Jaén (C)</c:v>
                </c:pt>
              </c:strCache>
            </c:strRef>
          </c:cat>
          <c:val>
            <c:numRef>
              <c:f>Hoja1!$B$2:$B$11</c:f>
              <c:numCache>
                <c:formatCode>General</c:formatCode>
                <c:ptCount val="10"/>
                <c:pt idx="0">
                  <c:v>696</c:v>
                </c:pt>
                <c:pt idx="1">
                  <c:v>382</c:v>
                </c:pt>
                <c:pt idx="2">
                  <c:v>312</c:v>
                </c:pt>
                <c:pt idx="3">
                  <c:v>194</c:v>
                </c:pt>
                <c:pt idx="4">
                  <c:v>157</c:v>
                </c:pt>
                <c:pt idx="5">
                  <c:v>151</c:v>
                </c:pt>
                <c:pt idx="6">
                  <c:v>77</c:v>
                </c:pt>
                <c:pt idx="7">
                  <c:v>69</c:v>
                </c:pt>
                <c:pt idx="8">
                  <c:v>33</c:v>
                </c:pt>
                <c:pt idx="9">
                  <c:v>32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455-434C-9818-6393B4F0AA1A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1660782623"/>
        <c:axId val="1660772063"/>
      </c:barChart>
      <c:catAx>
        <c:axId val="16607826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660772063"/>
        <c:crosses val="autoZero"/>
        <c:auto val="1"/>
        <c:lblAlgn val="ctr"/>
        <c:lblOffset val="100"/>
        <c:noMultiLvlLbl val="0"/>
      </c:catAx>
      <c:valAx>
        <c:axId val="16607720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6607826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8"/>
    </mc:Choice>
    <mc:Fallback>
      <c:style val="8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/>
              <a:t>Ocurrencia de los elementos materiales del patrimonio</a:t>
            </a:r>
          </a:p>
        </c:rich>
      </c:tx>
      <c:layout>
        <c:manualLayout>
          <c:xMode val="edge"/>
          <c:yMode val="edge"/>
          <c:x val="0.16801080085872799"/>
          <c:y val="1.98412698412698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Mayor número de menciones en los relatos de viaje</c:v>
                </c:pt>
              </c:strCache>
            </c:strRef>
          </c:tx>
          <c:spPr>
            <a:gradFill rotWithShape="1">
              <a:gsLst>
                <a:gs pos="0">
                  <a:schemeClr val="accent6">
                    <a:tint val="100000"/>
                    <a:shade val="100000"/>
                    <a:satMod val="130000"/>
                  </a:schemeClr>
                </a:gs>
                <a:gs pos="100000">
                  <a:schemeClr val="accent6">
                    <a:tint val="50000"/>
                    <a:shade val="100000"/>
                    <a:satMod val="350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E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Hoja1!$A$2:$A$11</c:f>
              <c:strCache>
                <c:ptCount val="10"/>
                <c:pt idx="0">
                  <c:v>Casa (público)</c:v>
                </c:pt>
                <c:pt idx="1">
                  <c:v>Calle (público)</c:v>
                </c:pt>
                <c:pt idx="2">
                  <c:v>Ciudad (público)</c:v>
                </c:pt>
                <c:pt idx="3">
                  <c:v>Patio (público)</c:v>
                </c:pt>
                <c:pt idx="4">
                  <c:v>Iglesia (monumento)</c:v>
                </c:pt>
                <c:pt idx="5">
                  <c:v>Catedral (monumento)</c:v>
                </c:pt>
                <c:pt idx="6">
                  <c:v>muralla (monumneto)</c:v>
                </c:pt>
                <c:pt idx="7">
                  <c:v>Alhambra (monumento)</c:v>
                </c:pt>
                <c:pt idx="8">
                  <c:v>Montaña (paisaje natural)</c:v>
                </c:pt>
                <c:pt idx="9">
                  <c:v>caminos (viaje)</c:v>
                </c:pt>
              </c:strCache>
            </c:strRef>
          </c:cat>
          <c:val>
            <c:numRef>
              <c:f>Hoja1!$B$2:$B$11</c:f>
              <c:numCache>
                <c:formatCode>General</c:formatCode>
                <c:ptCount val="10"/>
                <c:pt idx="0">
                  <c:v>442</c:v>
                </c:pt>
                <c:pt idx="1">
                  <c:v>405</c:v>
                </c:pt>
                <c:pt idx="2">
                  <c:v>355</c:v>
                </c:pt>
                <c:pt idx="3">
                  <c:v>328</c:v>
                </c:pt>
                <c:pt idx="4">
                  <c:v>323</c:v>
                </c:pt>
                <c:pt idx="5">
                  <c:v>319</c:v>
                </c:pt>
                <c:pt idx="6">
                  <c:v>316</c:v>
                </c:pt>
                <c:pt idx="7">
                  <c:v>258</c:v>
                </c:pt>
                <c:pt idx="8">
                  <c:v>268</c:v>
                </c:pt>
                <c:pt idx="9">
                  <c:v>219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9EE-4D04-B581-989CDF1C611E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1660782623"/>
        <c:axId val="1660772063"/>
      </c:barChart>
      <c:catAx>
        <c:axId val="16607826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660772063"/>
        <c:crosses val="autoZero"/>
        <c:auto val="1"/>
        <c:lblAlgn val="ctr"/>
        <c:lblOffset val="100"/>
        <c:noMultiLvlLbl val="0"/>
      </c:catAx>
      <c:valAx>
        <c:axId val="16607720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6607826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8"/>
    </mc:Choice>
    <mc:Fallback>
      <c:style val="8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/>
              <a:t>Ocurrencia de los elementos inmateriales del patrimonio</a:t>
            </a:r>
          </a:p>
        </c:rich>
      </c:tx>
      <c:layout>
        <c:manualLayout>
          <c:xMode val="edge"/>
          <c:yMode val="edge"/>
          <c:x val="0.16801080085872799"/>
          <c:y val="1.98412698412698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Mayor número de menciones en los relatos de viaje</c:v>
                </c:pt>
              </c:strCache>
            </c:strRef>
          </c:tx>
          <c:spPr>
            <a:gradFill rotWithShape="1">
              <a:gsLst>
                <a:gs pos="0">
                  <a:schemeClr val="accent6">
                    <a:tint val="100000"/>
                    <a:shade val="100000"/>
                    <a:satMod val="130000"/>
                  </a:schemeClr>
                </a:gs>
                <a:gs pos="100000">
                  <a:schemeClr val="accent6">
                    <a:tint val="50000"/>
                    <a:shade val="100000"/>
                    <a:satMod val="350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E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Hoja1!$A$2:$A$12</c:f>
              <c:strCache>
                <c:ptCount val="11"/>
                <c:pt idx="0">
                  <c:v>Hombre (grupo social)</c:v>
                </c:pt>
                <c:pt idx="1">
                  <c:v>Mujer (grupo social)</c:v>
                </c:pt>
                <c:pt idx="2">
                  <c:v>Moro (grupo oscial)</c:v>
                </c:pt>
                <c:pt idx="3">
                  <c:v>Calor/sol (general)</c:v>
                </c:pt>
                <c:pt idx="4">
                  <c:v>Andaluz (gentilicio)</c:v>
                </c:pt>
                <c:pt idx="5">
                  <c:v>Belleza (general)</c:v>
                </c:pt>
                <c:pt idx="6">
                  <c:v>Corrida/toreo (fiestas)</c:v>
                </c:pt>
                <c:pt idx="7">
                  <c:v>Pobre (general)</c:v>
                </c:pt>
                <c:pt idx="8">
                  <c:v>Gitano (grupo social)</c:v>
                </c:pt>
                <c:pt idx="9">
                  <c:v>Baile (fiestas)</c:v>
                </c:pt>
                <c:pt idx="10">
                  <c:v>Árabe (grupo social)</c:v>
                </c:pt>
              </c:strCache>
            </c:strRef>
          </c:cat>
          <c:val>
            <c:numRef>
              <c:f>Hoja1!$B$2:$B$12</c:f>
              <c:numCache>
                <c:formatCode>General</c:formatCode>
                <c:ptCount val="11"/>
                <c:pt idx="0">
                  <c:v>1146</c:v>
                </c:pt>
                <c:pt idx="1">
                  <c:v>796</c:v>
                </c:pt>
                <c:pt idx="2">
                  <c:v>563</c:v>
                </c:pt>
                <c:pt idx="3">
                  <c:v>396</c:v>
                </c:pt>
                <c:pt idx="4">
                  <c:v>158</c:v>
                </c:pt>
                <c:pt idx="5">
                  <c:v>154</c:v>
                </c:pt>
                <c:pt idx="6">
                  <c:v>147</c:v>
                </c:pt>
                <c:pt idx="7">
                  <c:v>130</c:v>
                </c:pt>
                <c:pt idx="8">
                  <c:v>119</c:v>
                </c:pt>
                <c:pt idx="9">
                  <c:v>119</c:v>
                </c:pt>
                <c:pt idx="10">
                  <c:v>108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1C1-4323-8082-C489F579E91A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1660782623"/>
        <c:axId val="1660772063"/>
      </c:barChart>
      <c:catAx>
        <c:axId val="16607826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660772063"/>
        <c:crosses val="autoZero"/>
        <c:auto val="1"/>
        <c:lblAlgn val="ctr"/>
        <c:lblOffset val="100"/>
        <c:noMultiLvlLbl val="0"/>
      </c:catAx>
      <c:valAx>
        <c:axId val="16607720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6607826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8"/>
    </mc:Choice>
    <mc:Fallback>
      <c:style val="8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/>
              <a:t>Ocurrencia de los espacios monumentales y naturales propios</a:t>
            </a:r>
          </a:p>
        </c:rich>
      </c:tx>
      <c:layout>
        <c:manualLayout>
          <c:xMode val="edge"/>
          <c:yMode val="edge"/>
          <c:x val="0.16801080085872799"/>
          <c:y val="1.98412698412698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Mayor número de menciones en los relatos de viaje</c:v>
                </c:pt>
              </c:strCache>
            </c:strRef>
          </c:tx>
          <c:spPr>
            <a:gradFill rotWithShape="1">
              <a:gsLst>
                <a:gs pos="0">
                  <a:schemeClr val="accent6">
                    <a:tint val="100000"/>
                    <a:shade val="100000"/>
                    <a:satMod val="130000"/>
                  </a:schemeClr>
                </a:gs>
                <a:gs pos="100000">
                  <a:schemeClr val="accent6">
                    <a:tint val="50000"/>
                    <a:shade val="100000"/>
                    <a:satMod val="350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E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Hoja1!$A$2:$A$16</c:f>
              <c:strCache>
                <c:ptCount val="15"/>
                <c:pt idx="0">
                  <c:v>Alhambra (monumento)</c:v>
                </c:pt>
                <c:pt idx="1">
                  <c:v>Mezquita (monumento)</c:v>
                </c:pt>
                <c:pt idx="2">
                  <c:v>Álcazar (monumento)</c:v>
                </c:pt>
                <c:pt idx="3">
                  <c:v>Giralda (monumento)</c:v>
                </c:pt>
                <c:pt idx="4">
                  <c:v>Guadalquivir (río)</c:v>
                </c:pt>
                <c:pt idx="5">
                  <c:v>Sierra Nevada (Montaña)</c:v>
                </c:pt>
                <c:pt idx="6">
                  <c:v>Triana (barrio)</c:v>
                </c:pt>
                <c:pt idx="7">
                  <c:v>Generalife (monumento)</c:v>
                </c:pt>
                <c:pt idx="8">
                  <c:v>Itálica (monumento)</c:v>
                </c:pt>
                <c:pt idx="9">
                  <c:v>Sierra Morena (Montaña)</c:v>
                </c:pt>
                <c:pt idx="10">
                  <c:v>Darro (río)</c:v>
                </c:pt>
                <c:pt idx="11">
                  <c:v>Doñana (parque natural)</c:v>
                </c:pt>
                <c:pt idx="12">
                  <c:v>Sierpes (barrio)</c:v>
                </c:pt>
                <c:pt idx="13">
                  <c:v>Albaicín (barrio)</c:v>
                </c:pt>
                <c:pt idx="14">
                  <c:v>Torre del Oro (monumento)</c:v>
                </c:pt>
              </c:strCache>
            </c:strRef>
          </c:cat>
          <c:val>
            <c:numRef>
              <c:f>Hoja1!$B$2:$B$16</c:f>
              <c:numCache>
                <c:formatCode>General</c:formatCode>
                <c:ptCount val="15"/>
                <c:pt idx="0">
                  <c:v>258</c:v>
                </c:pt>
                <c:pt idx="1">
                  <c:v>161</c:v>
                </c:pt>
                <c:pt idx="2">
                  <c:v>86</c:v>
                </c:pt>
                <c:pt idx="3">
                  <c:v>78</c:v>
                </c:pt>
                <c:pt idx="4">
                  <c:v>66</c:v>
                </c:pt>
                <c:pt idx="5">
                  <c:v>43</c:v>
                </c:pt>
                <c:pt idx="6">
                  <c:v>30</c:v>
                </c:pt>
                <c:pt idx="7">
                  <c:v>29</c:v>
                </c:pt>
                <c:pt idx="8">
                  <c:v>29</c:v>
                </c:pt>
                <c:pt idx="9">
                  <c:v>28</c:v>
                </c:pt>
                <c:pt idx="10">
                  <c:v>28</c:v>
                </c:pt>
                <c:pt idx="11">
                  <c:v>25</c:v>
                </c:pt>
                <c:pt idx="12">
                  <c:v>24</c:v>
                </c:pt>
                <c:pt idx="13">
                  <c:v>21</c:v>
                </c:pt>
                <c:pt idx="14">
                  <c:v>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928-4F37-A012-07E075EAC2CB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1660782623"/>
        <c:axId val="1660772063"/>
      </c:barChart>
      <c:catAx>
        <c:axId val="16607826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660772063"/>
        <c:crosses val="autoZero"/>
        <c:auto val="1"/>
        <c:lblAlgn val="ctr"/>
        <c:lblOffset val="100"/>
        <c:noMultiLvlLbl val="0"/>
      </c:catAx>
      <c:valAx>
        <c:axId val="16607720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6607826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Hoja1!$B$1</c:f>
              <c:strCache>
                <c:ptCount val="1"/>
                <c:pt idx="0">
                  <c:v>Menciones totales por categoría</c:v>
                </c:pt>
              </c:strCache>
            </c:strRef>
          </c:tx>
          <c:dPt>
            <c:idx val="0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7201-4EDB-8C31-7359B48210B1}"/>
              </c:ext>
            </c:extLst>
          </c:dPt>
          <c:dPt>
            <c:idx val="1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7201-4EDB-8C31-7359B48210B1}"/>
              </c:ext>
            </c:extLst>
          </c:dPt>
          <c:dPt>
            <c:idx val="2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7201-4EDB-8C31-7359B48210B1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s-E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Hoja1!$A$2:$A$4</c:f>
              <c:strCache>
                <c:ptCount val="3"/>
                <c:pt idx="0">
                  <c:v>Localidades. 2351.</c:v>
                </c:pt>
                <c:pt idx="1">
                  <c:v>Patrimonio inmaterial. 5701.</c:v>
                </c:pt>
                <c:pt idx="2">
                  <c:v>Patrimonio material. 6844.</c:v>
                </c:pt>
              </c:strCache>
            </c:strRef>
          </c:cat>
          <c:val>
            <c:numRef>
              <c:f>Hoja1!$B$2:$B$4</c:f>
              <c:numCache>
                <c:formatCode>General</c:formatCode>
                <c:ptCount val="3"/>
                <c:pt idx="0">
                  <c:v>2351</c:v>
                </c:pt>
                <c:pt idx="1">
                  <c:v>5701</c:v>
                </c:pt>
                <c:pt idx="2">
                  <c:v>6844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7201-4EDB-8C31-7359B48210B1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543389107611548"/>
          <c:y val="0.39042025996750407"/>
          <c:w val="0.3317722003499563"/>
          <c:h val="0.37036995375578052"/>
        </c:manualLayout>
      </c:layout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Menciones según la tipología de localidad (2351</a:t>
            </a:r>
            <a:r>
              <a:rPr lang="en-US" baseline="0"/>
              <a:t> total)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Hoja1!$B$1</c:f>
              <c:strCache>
                <c:ptCount val="1"/>
                <c:pt idx="0">
                  <c:v>Menciones según la tipología de localidad</c:v>
                </c:pt>
              </c:strCache>
            </c:strRef>
          </c:tx>
          <c:dPt>
            <c:idx val="0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650A-4B95-B915-34E26E32055D}"/>
              </c:ext>
            </c:extLst>
          </c:dPt>
          <c:dPt>
            <c:idx val="1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650A-4B95-B915-34E26E32055D}"/>
              </c:ext>
            </c:extLst>
          </c:dPt>
          <c:dPt>
            <c:idx val="2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650A-4B95-B915-34E26E32055D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s-E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Hoja1!$A$2:$A$4</c:f>
              <c:strCache>
                <c:ptCount val="3"/>
                <c:pt idx="0">
                  <c:v>Conjunto de Andalucía. 198</c:v>
                </c:pt>
                <c:pt idx="1">
                  <c:v>Municipios como cpaitales. 1670</c:v>
                </c:pt>
                <c:pt idx="2">
                  <c:v>Municpios no capitales. 487</c:v>
                </c:pt>
              </c:strCache>
            </c:strRef>
          </c:cat>
          <c:val>
            <c:numRef>
              <c:f>Hoja1!$B$2:$B$4</c:f>
              <c:numCache>
                <c:formatCode>General</c:formatCode>
                <c:ptCount val="3"/>
                <c:pt idx="0">
                  <c:v>198</c:v>
                </c:pt>
                <c:pt idx="1">
                  <c:v>1670</c:v>
                </c:pt>
                <c:pt idx="2">
                  <c:v>487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650A-4B95-B915-34E26E32055D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1877168999708365"/>
          <c:y val="0.3767394700662417"/>
          <c:w val="0.36733942111402745"/>
          <c:h val="0.32275090613673291"/>
        </c:manualLayout>
      </c:layout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Menciones según tipología </a:t>
            </a:r>
            <a:r>
              <a:rPr lang="en-US" baseline="0"/>
              <a:t>del</a:t>
            </a:r>
            <a:r>
              <a:rPr lang="en-US"/>
              <a:t> patrimonio material (6844 total)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Hoja1!$B$1</c:f>
              <c:strCache>
                <c:ptCount val="1"/>
                <c:pt idx="0">
                  <c:v>Menciones del patrimonio material</c:v>
                </c:pt>
              </c:strCache>
            </c:strRef>
          </c:tx>
          <c:dPt>
            <c:idx val="0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1BBB-4EB9-A0E2-CD2860FD819C}"/>
              </c:ext>
            </c:extLst>
          </c:dPt>
          <c:dPt>
            <c:idx val="1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1BBB-4EB9-A0E2-CD2860FD819C}"/>
              </c:ext>
            </c:extLst>
          </c:dPt>
          <c:dPt>
            <c:idx val="2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1BBB-4EB9-A0E2-CD2860FD819C}"/>
              </c:ext>
            </c:extLst>
          </c:dPt>
          <c:dPt>
            <c:idx val="3"/>
            <c:bubble3D val="0"/>
            <c:spPr>
              <a:solidFill>
                <a:schemeClr val="accent6">
                  <a:lumMod val="6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1BBB-4EB9-A0E2-CD2860FD819C}"/>
              </c:ext>
            </c:extLst>
          </c:dPt>
          <c:dPt>
            <c:idx val="4"/>
            <c:bubble3D val="0"/>
            <c:spPr>
              <a:solidFill>
                <a:schemeClr val="accent5">
                  <a:lumMod val="6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1BBB-4EB9-A0E2-CD2860FD819C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s-E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Hoja1!$A$2:$A$6</c:f>
              <c:strCache>
                <c:ptCount val="5"/>
                <c:pt idx="0">
                  <c:v>Espacios públicos. 2545</c:v>
                </c:pt>
                <c:pt idx="1">
                  <c:v>Monumentos. 2271.</c:v>
                </c:pt>
                <c:pt idx="2">
                  <c:v>Esapcios naturales. 1011.</c:v>
                </c:pt>
                <c:pt idx="3">
                  <c:v>Viajes y caminos. 738</c:v>
                </c:pt>
                <c:pt idx="4">
                  <c:v>Consumo: comida y bebida. 279</c:v>
                </c:pt>
              </c:strCache>
            </c:strRef>
          </c:cat>
          <c:val>
            <c:numRef>
              <c:f>Hoja1!$B$2:$B$6</c:f>
              <c:numCache>
                <c:formatCode>General</c:formatCode>
                <c:ptCount val="5"/>
                <c:pt idx="0">
                  <c:v>2545</c:v>
                </c:pt>
                <c:pt idx="1">
                  <c:v>2271</c:v>
                </c:pt>
                <c:pt idx="2">
                  <c:v>1011</c:v>
                </c:pt>
                <c:pt idx="3">
                  <c:v>738</c:v>
                </c:pt>
                <c:pt idx="4">
                  <c:v>279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1BBB-4EB9-A0E2-CD2860FD819C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0107502187226591"/>
          <c:y val="0.28151387326584182"/>
          <c:w val="0.38503608923884514"/>
          <c:h val="0.600087489063867"/>
        </c:manualLayout>
      </c:layout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Menciones según tipología del patrimonio inmaterial (5701 total)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Hoja1!$B$1</c:f>
              <c:strCache>
                <c:ptCount val="1"/>
                <c:pt idx="0">
                  <c:v>Menciones según tipología del patrimonio inmaterial</c:v>
                </c:pt>
              </c:strCache>
            </c:strRef>
          </c:tx>
          <c:dPt>
            <c:idx val="0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BB6B-4995-A0E7-196C31759F51}"/>
              </c:ext>
            </c:extLst>
          </c:dPt>
          <c:dPt>
            <c:idx val="1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BB6B-4995-A0E7-196C31759F51}"/>
              </c:ext>
            </c:extLst>
          </c:dPt>
          <c:dPt>
            <c:idx val="2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BB6B-4995-A0E7-196C31759F51}"/>
              </c:ext>
            </c:extLst>
          </c:dPt>
          <c:dPt>
            <c:idx val="3"/>
            <c:bubble3D val="0"/>
            <c:spPr>
              <a:solidFill>
                <a:schemeClr val="accent6">
                  <a:lumMod val="6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BB6B-4995-A0E7-196C31759F51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s-E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Hoja1!$A$2:$A$5</c:f>
              <c:strCache>
                <c:ptCount val="4"/>
                <c:pt idx="0">
                  <c:v>Gentilicios y grupos sociales. 3245</c:v>
                </c:pt>
                <c:pt idx="1">
                  <c:v>De personalidad y general. 1275</c:v>
                </c:pt>
                <c:pt idx="2">
                  <c:v>Actividades y fiestas. 1014</c:v>
                </c:pt>
                <c:pt idx="3">
                  <c:v>Oficios. 167</c:v>
                </c:pt>
              </c:strCache>
            </c:strRef>
          </c:cat>
          <c:val>
            <c:numRef>
              <c:f>Hoja1!$B$2:$B$5</c:f>
              <c:numCache>
                <c:formatCode>General</c:formatCode>
                <c:ptCount val="4"/>
                <c:pt idx="0">
                  <c:v>3245</c:v>
                </c:pt>
                <c:pt idx="1">
                  <c:v>1275</c:v>
                </c:pt>
                <c:pt idx="2">
                  <c:v>1014</c:v>
                </c:pt>
                <c:pt idx="3">
                  <c:v>167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BB6B-4995-A0E7-196C31759F51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/>
              <a:t>Relatos de viajes anglosajones sobre España y andalucía (1900-1905)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Patrimonio material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E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Hoja1!$A$2:$A$6</c:f>
              <c:strCache>
                <c:ptCount val="5"/>
                <c:pt idx="0">
                  <c:v>1900. Spanish Highway and Bayways  (USA/Woman). 187 menciones</c:v>
                </c:pt>
                <c:pt idx="1">
                  <c:v>1902. The land of the Dons. 148 menciones</c:v>
                </c:pt>
                <c:pt idx="2">
                  <c:v>1903. Impressions of Spain. 155 menciones</c:v>
                </c:pt>
                <c:pt idx="3">
                  <c:v>1904. A tramp in Spain: from Andalusia to Andorra. 157 menciones</c:v>
                </c:pt>
                <c:pt idx="4">
                  <c:v>1905. The land of the blessed virgin. 193 menciones	</c:v>
                </c:pt>
              </c:strCache>
            </c:strRef>
          </c:cat>
          <c:val>
            <c:numRef>
              <c:f>Hoja1!$B$2:$B$6</c:f>
              <c:numCache>
                <c:formatCode>General</c:formatCode>
                <c:ptCount val="5"/>
                <c:pt idx="0">
                  <c:v>86</c:v>
                </c:pt>
                <c:pt idx="1">
                  <c:v>57</c:v>
                </c:pt>
                <c:pt idx="2">
                  <c:v>83</c:v>
                </c:pt>
                <c:pt idx="3">
                  <c:v>73</c:v>
                </c:pt>
                <c:pt idx="4">
                  <c:v>89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2FD-4687-9DD8-EA84E27C1722}"/>
            </c:ext>
          </c:extLst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Patrimonio inmaterial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E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Hoja1!$A$2:$A$6</c:f>
              <c:strCache>
                <c:ptCount val="5"/>
                <c:pt idx="0">
                  <c:v>1900. Spanish Highway and Bayways  (USA/Woman). 187 menciones</c:v>
                </c:pt>
                <c:pt idx="1">
                  <c:v>1902. The land of the Dons. 148 menciones</c:v>
                </c:pt>
                <c:pt idx="2">
                  <c:v>1903. Impressions of Spain. 155 menciones</c:v>
                </c:pt>
                <c:pt idx="3">
                  <c:v>1904. A tramp in Spain: from Andalusia to Andorra. 157 menciones</c:v>
                </c:pt>
                <c:pt idx="4">
                  <c:v>1905. The land of the blessed virgin. 193 menciones	</c:v>
                </c:pt>
              </c:strCache>
            </c:strRef>
          </c:cat>
          <c:val>
            <c:numRef>
              <c:f>Hoja1!$C$2:$C$6</c:f>
              <c:numCache>
                <c:formatCode>General</c:formatCode>
                <c:ptCount val="5"/>
                <c:pt idx="0">
                  <c:v>86</c:v>
                </c:pt>
                <c:pt idx="1">
                  <c:v>72</c:v>
                </c:pt>
                <c:pt idx="2">
                  <c:v>51</c:v>
                </c:pt>
                <c:pt idx="3">
                  <c:v>72</c:v>
                </c:pt>
                <c:pt idx="4">
                  <c:v>88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2FD-4687-9DD8-EA84E27C1722}"/>
            </c:ext>
          </c:extLst>
        </c:ser>
        <c:ser>
          <c:idx val="2"/>
          <c:order val="2"/>
          <c:tx>
            <c:strRef>
              <c:f>Hoja1!$D$1</c:f>
              <c:strCache>
                <c:ptCount val="1"/>
                <c:pt idx="0">
                  <c:v>localidades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E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Hoja1!$A$2:$A$6</c:f>
              <c:strCache>
                <c:ptCount val="5"/>
                <c:pt idx="0">
                  <c:v>1900. Spanish Highway and Bayways  (USA/Woman). 187 menciones</c:v>
                </c:pt>
                <c:pt idx="1">
                  <c:v>1902. The land of the Dons. 148 menciones</c:v>
                </c:pt>
                <c:pt idx="2">
                  <c:v>1903. Impressions of Spain. 155 menciones</c:v>
                </c:pt>
                <c:pt idx="3">
                  <c:v>1904. A tramp in Spain: from Andalusia to Andorra. 157 menciones</c:v>
                </c:pt>
                <c:pt idx="4">
                  <c:v>1905. The land of the blessed virgin. 193 menciones	</c:v>
                </c:pt>
              </c:strCache>
            </c:strRef>
          </c:cat>
          <c:val>
            <c:numRef>
              <c:f>Hoja1!$D$2:$D$6</c:f>
              <c:numCache>
                <c:formatCode>General</c:formatCode>
                <c:ptCount val="5"/>
                <c:pt idx="0">
                  <c:v>15</c:v>
                </c:pt>
                <c:pt idx="1">
                  <c:v>19</c:v>
                </c:pt>
                <c:pt idx="2">
                  <c:v>21</c:v>
                </c:pt>
                <c:pt idx="3">
                  <c:v>12</c:v>
                </c:pt>
                <c:pt idx="4">
                  <c:v>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2FD-4687-9DD8-EA84E27C172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957148432"/>
        <c:axId val="1957143632"/>
      </c:barChart>
      <c:catAx>
        <c:axId val="19571484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957143632"/>
        <c:crosses val="autoZero"/>
        <c:auto val="1"/>
        <c:lblAlgn val="ctr"/>
        <c:lblOffset val="100"/>
        <c:noMultiLvlLbl val="0"/>
      </c:catAx>
      <c:valAx>
        <c:axId val="19571436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9571484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/>
              <a:t>Relatos de viajes anglosajones sobre España y andalucía (1906-1910)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Patrimonio material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E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Hoja1!$A$2:$A$7</c:f>
              <c:strCache>
                <c:ptCount val="6"/>
                <c:pt idx="0">
                  <c:v>1908. Southern Spain. 211 menciones</c:v>
                </c:pt>
                <c:pt idx="1">
                  <c:v>1908. Sun and shadow in Spain (Woman/USA) . 200 menciones</c:v>
                </c:pt>
                <c:pt idx="2">
                  <c:v>1909. Cathedral cities of Spain. 139 menciones</c:v>
                </c:pt>
                <c:pt idx="3">
                  <c:v>1909. Spain of to-day (USA). 118 menciones</c:v>
                </c:pt>
                <c:pt idx="4">
                  <c:v>1910. Unexplored Spain. 168 menciones	</c:v>
                </c:pt>
                <c:pt idx="5">
                  <c:v>1910.Heroic Spain (Woman/USA). 136 menciones	</c:v>
                </c:pt>
              </c:strCache>
            </c:strRef>
          </c:cat>
          <c:val>
            <c:numRef>
              <c:f>Hoja1!$B$2:$B$7</c:f>
              <c:numCache>
                <c:formatCode>General</c:formatCode>
                <c:ptCount val="6"/>
                <c:pt idx="0">
                  <c:v>105</c:v>
                </c:pt>
                <c:pt idx="1">
                  <c:v>91</c:v>
                </c:pt>
                <c:pt idx="2">
                  <c:v>77</c:v>
                </c:pt>
                <c:pt idx="3">
                  <c:v>66</c:v>
                </c:pt>
                <c:pt idx="4">
                  <c:v>75</c:v>
                </c:pt>
                <c:pt idx="5">
                  <c:v>59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68C-4A1C-9D8B-234D035A0E44}"/>
            </c:ext>
          </c:extLst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Patrimonio inmaterial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E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Hoja1!$A$2:$A$7</c:f>
              <c:strCache>
                <c:ptCount val="6"/>
                <c:pt idx="0">
                  <c:v>1908. Southern Spain. 211 menciones</c:v>
                </c:pt>
                <c:pt idx="1">
                  <c:v>1908. Sun and shadow in Spain (Woman/USA) . 200 menciones</c:v>
                </c:pt>
                <c:pt idx="2">
                  <c:v>1909. Cathedral cities of Spain. 139 menciones</c:v>
                </c:pt>
                <c:pt idx="3">
                  <c:v>1909. Spain of to-day (USA). 118 menciones</c:v>
                </c:pt>
                <c:pt idx="4">
                  <c:v>1910. Unexplored Spain. 168 menciones	</c:v>
                </c:pt>
                <c:pt idx="5">
                  <c:v>1910.Heroic Spain (Woman/USA). 136 menciones	</c:v>
                </c:pt>
              </c:strCache>
            </c:strRef>
          </c:cat>
          <c:val>
            <c:numRef>
              <c:f>Hoja1!$C$2:$C$7</c:f>
              <c:numCache>
                <c:formatCode>General</c:formatCode>
                <c:ptCount val="6"/>
                <c:pt idx="0">
                  <c:v>71</c:v>
                </c:pt>
                <c:pt idx="1">
                  <c:v>95</c:v>
                </c:pt>
                <c:pt idx="2">
                  <c:v>48</c:v>
                </c:pt>
                <c:pt idx="3">
                  <c:v>44</c:v>
                </c:pt>
                <c:pt idx="4">
                  <c:v>69</c:v>
                </c:pt>
                <c:pt idx="5">
                  <c:v>63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68C-4A1C-9D8B-234D035A0E44}"/>
            </c:ext>
          </c:extLst>
        </c:ser>
        <c:ser>
          <c:idx val="2"/>
          <c:order val="2"/>
          <c:tx>
            <c:strRef>
              <c:f>Hoja1!$D$1</c:f>
              <c:strCache>
                <c:ptCount val="1"/>
                <c:pt idx="0">
                  <c:v>localidades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E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Hoja1!$A$2:$A$7</c:f>
              <c:strCache>
                <c:ptCount val="6"/>
                <c:pt idx="0">
                  <c:v>1908. Southern Spain. 211 menciones</c:v>
                </c:pt>
                <c:pt idx="1">
                  <c:v>1908. Sun and shadow in Spain (Woman/USA) . 200 menciones</c:v>
                </c:pt>
                <c:pt idx="2">
                  <c:v>1909. Cathedral cities of Spain. 139 menciones</c:v>
                </c:pt>
                <c:pt idx="3">
                  <c:v>1909. Spain of to-day (USA). 118 menciones</c:v>
                </c:pt>
                <c:pt idx="4">
                  <c:v>1910. Unexplored Spain. 168 menciones	</c:v>
                </c:pt>
                <c:pt idx="5">
                  <c:v>1910.Heroic Spain (Woman/USA). 136 menciones	</c:v>
                </c:pt>
              </c:strCache>
            </c:strRef>
          </c:cat>
          <c:val>
            <c:numRef>
              <c:f>Hoja1!$D$2:$D$7</c:f>
              <c:numCache>
                <c:formatCode>General</c:formatCode>
                <c:ptCount val="6"/>
                <c:pt idx="0">
                  <c:v>35</c:v>
                </c:pt>
                <c:pt idx="1">
                  <c:v>14</c:v>
                </c:pt>
                <c:pt idx="2">
                  <c:v>14</c:v>
                </c:pt>
                <c:pt idx="3">
                  <c:v>8</c:v>
                </c:pt>
                <c:pt idx="4">
                  <c:v>24</c:v>
                </c:pt>
                <c:pt idx="5">
                  <c:v>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68C-4A1C-9D8B-234D035A0E4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957148432"/>
        <c:axId val="1957143632"/>
      </c:barChart>
      <c:catAx>
        <c:axId val="19571484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957143632"/>
        <c:crosses val="autoZero"/>
        <c:auto val="1"/>
        <c:lblAlgn val="ctr"/>
        <c:lblOffset val="100"/>
        <c:noMultiLvlLbl val="0"/>
      </c:catAx>
      <c:valAx>
        <c:axId val="19571436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9571484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/>
              <a:t>Relatos de viajes anglosajones sobre España y andalucía (1911-1914)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Patrimonio material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E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Hoja1!$A$2:$A$5</c:f>
              <c:strCache>
                <c:ptCount val="4"/>
                <c:pt idx="0">
                  <c:v>1911. Four months afoot in Spain (USA). 189 menciones</c:v>
                </c:pt>
                <c:pt idx="1">
                  <c:v>1912. Things seen in Spain (Woman). 136 menciones</c:v>
                </c:pt>
                <c:pt idx="2">
                  <c:v>1913. Family spanish travel (USA). 191 menciones</c:v>
                </c:pt>
                <c:pt idx="3">
                  <c:v>1914. Through Spain. 145 menciones</c:v>
                </c:pt>
              </c:strCache>
            </c:strRef>
          </c:cat>
          <c:val>
            <c:numRef>
              <c:f>Hoja1!$B$2:$B$5</c:f>
              <c:numCache>
                <c:formatCode>General</c:formatCode>
                <c:ptCount val="4"/>
                <c:pt idx="0">
                  <c:v>88</c:v>
                </c:pt>
                <c:pt idx="1">
                  <c:v>66</c:v>
                </c:pt>
                <c:pt idx="2">
                  <c:v>92</c:v>
                </c:pt>
                <c:pt idx="3">
                  <c:v>78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42E-4642-BADD-90A94DBE5B00}"/>
            </c:ext>
          </c:extLst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Patrimonio inmaterial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E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Hoja1!$A$2:$A$5</c:f>
              <c:strCache>
                <c:ptCount val="4"/>
                <c:pt idx="0">
                  <c:v>1911. Four months afoot in Spain (USA). 189 menciones</c:v>
                </c:pt>
                <c:pt idx="1">
                  <c:v>1912. Things seen in Spain (Woman). 136 menciones</c:v>
                </c:pt>
                <c:pt idx="2">
                  <c:v>1913. Family spanish travel (USA). 191 menciones</c:v>
                </c:pt>
                <c:pt idx="3">
                  <c:v>1914. Through Spain. 145 menciones</c:v>
                </c:pt>
              </c:strCache>
            </c:strRef>
          </c:cat>
          <c:val>
            <c:numRef>
              <c:f>Hoja1!$C$2:$C$5</c:f>
              <c:numCache>
                <c:formatCode>General</c:formatCode>
                <c:ptCount val="4"/>
                <c:pt idx="0">
                  <c:v>85</c:v>
                </c:pt>
                <c:pt idx="1">
                  <c:v>64</c:v>
                </c:pt>
                <c:pt idx="2">
                  <c:v>83</c:v>
                </c:pt>
                <c:pt idx="3">
                  <c:v>53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42E-4642-BADD-90A94DBE5B00}"/>
            </c:ext>
          </c:extLst>
        </c:ser>
        <c:ser>
          <c:idx val="2"/>
          <c:order val="2"/>
          <c:tx>
            <c:strRef>
              <c:f>Hoja1!$D$1</c:f>
              <c:strCache>
                <c:ptCount val="1"/>
                <c:pt idx="0">
                  <c:v>localidades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E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Hoja1!$A$2:$A$5</c:f>
              <c:strCache>
                <c:ptCount val="4"/>
                <c:pt idx="0">
                  <c:v>1911. Four months afoot in Spain (USA). 189 menciones</c:v>
                </c:pt>
                <c:pt idx="1">
                  <c:v>1912. Things seen in Spain (Woman). 136 menciones</c:v>
                </c:pt>
                <c:pt idx="2">
                  <c:v>1913. Family spanish travel (USA). 191 menciones</c:v>
                </c:pt>
                <c:pt idx="3">
                  <c:v>1914. Through Spain. 145 menciones</c:v>
                </c:pt>
              </c:strCache>
            </c:strRef>
          </c:cat>
          <c:val>
            <c:numRef>
              <c:f>Hoja1!$D$2:$D$5</c:f>
              <c:numCache>
                <c:formatCode>General</c:formatCode>
                <c:ptCount val="4"/>
                <c:pt idx="0">
                  <c:v>16</c:v>
                </c:pt>
                <c:pt idx="1">
                  <c:v>6</c:v>
                </c:pt>
                <c:pt idx="2">
                  <c:v>16</c:v>
                </c:pt>
                <c:pt idx="3">
                  <c:v>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42E-4642-BADD-90A94DBE5B0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957148432"/>
        <c:axId val="1957143632"/>
      </c:barChart>
      <c:catAx>
        <c:axId val="19571484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957143632"/>
        <c:crosses val="autoZero"/>
        <c:auto val="1"/>
        <c:lblAlgn val="ctr"/>
        <c:lblOffset val="100"/>
        <c:noMultiLvlLbl val="0"/>
      </c:catAx>
      <c:valAx>
        <c:axId val="19571436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9571484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Reversed" id="26">
  <a:schemeClr val="accent6"/>
</cs:colorStyle>
</file>

<file path=word/charts/colors2.xml><?xml version="1.0" encoding="utf-8"?>
<cs:colorStyle xmlns:cs="http://schemas.microsoft.com/office/drawing/2012/chartStyle" xmlns:a="http://schemas.openxmlformats.org/drawingml/2006/main" meth="withinLinearReversed" id="26">
  <a:schemeClr val="accent6"/>
</cs:colorStyle>
</file>

<file path=word/charts/colors3.xml><?xml version="1.0" encoding="utf-8"?>
<cs:colorStyle xmlns:cs="http://schemas.microsoft.com/office/drawing/2012/chartStyle" xmlns:a="http://schemas.openxmlformats.org/drawingml/2006/main" meth="withinLinearReversed" id="26">
  <a:schemeClr val="accent6"/>
</cs:colorStyle>
</file>

<file path=word/charts/colors4.xml><?xml version="1.0" encoding="utf-8"?>
<cs:colorStyle xmlns:cs="http://schemas.microsoft.com/office/drawing/2012/chartStyle" xmlns:a="http://schemas.openxmlformats.org/drawingml/2006/main" meth="withinLinearReversed" id="26">
  <a:schemeClr val="accent6"/>
</cs:colorStyle>
</file>

<file path=word/charts/colors5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201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</dc:creator>
  <cp:keywords/>
  <dc:description/>
  <cp:lastModifiedBy>Antonio</cp:lastModifiedBy>
  <cp:revision>2</cp:revision>
  <dcterms:created xsi:type="dcterms:W3CDTF">2026-05-06T07:13:00Z</dcterms:created>
  <dcterms:modified xsi:type="dcterms:W3CDTF">2026-05-06T07:16:00Z</dcterms:modified>
</cp:coreProperties>
</file>