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2A37"/>
          <w:sz w:val="44"/>
          <w:szCs w:val="44"/>
        </w:rPr>
        <w:t xml:space="preserve">Contratto di fornitura del servizio safecivetta.it</w:t>
      </w:r>
    </w:p>
    <w:p>
      <w:pPr>
        <w:spacing w:after="240"/>
      </w:pPr>
      <w:r>
        <w:rPr>
          <w:rFonts w:ascii="Calibri" w:cs="Calibri" w:eastAsia="Calibri" w:hAnsi="Calibri"/>
          <w:color w:val="C8102E"/>
          <w:sz w:val="26"/>
          <w:szCs w:val="26"/>
        </w:rPr>
        <w:t xml:space="preserve">Furnari Consulting S.r.l. · Consorzio Impianti a Fune Civetta · bozza per revisione legale</w:t>
      </w:r>
    </w:p>
    <w:p>
      <w:pPr>
        <w:spacing w:after="120"/>
      </w:pPr>
      <w:r>
        <w:rPr>
          <w:rFonts w:ascii="Calibri" w:cs="Calibri" w:eastAsia="Calibri" w:hAnsi="Calibri"/>
          <w:i/>
          <w:iCs/>
          <w:color w:val="6B7280"/>
          <w:sz w:val="18"/>
          <w:szCs w:val="18"/>
        </w:rPr>
        <w:t xml:space="preserve">BOZZA v0.1 del 12/09/2026 predisposta sulla base dello stato reale del portale in produzione. Da far verificare a un legale prima della firma; i valori tra parentesi quadre e gli importi sono proposte da confermare.</w:t>
      </w:r>
    </w:p>
    <w:p>
      <w:pPr>
        <w:pStyle w:val="Heading1"/>
        <w:spacing w:after="140" w:before="320"/>
      </w:pPr>
      <w:r>
        <w:t xml:space="preserve">Contratto di fornitura del servizio safecivetta.it</w:t>
      </w:r>
    </w:p>
    <w:p>
      <w:pPr>
        <w:spacing w:after="120" w:before="0"/>
      </w:pPr>
      <w:r>
        <w:rPr>
          <w:rFonts w:ascii="Calibri" w:cs="Calibri" w:eastAsia="Calibri" w:hAnsi="Calibri"/>
          <w:sz w:val="22"/>
          <w:szCs w:val="22"/>
        </w:rPr>
        <w:t xml:space="preserve">Fornitura in modalità SaaS (software come servizio) del portale per la gestione degli interventi di soccorso sulle piste, con hosting, manutenzione, assistenza e trattamento dei dati per conto del cliente.</w:t>
      </w:r>
    </w:p>
    <w:p>
      <w:pPr>
        <w:pStyle w:val="Heading2"/>
        <w:spacing w:after="100" w:before="240"/>
      </w:pPr>
      <w:r>
        <w:t xml:space="preserve">Tra</w:t>
      </w:r>
    </w:p>
    <w:p>
      <w:pPr>
        <w:spacing w:after="120" w:before="0"/>
      </w:pPr>
      <w:r>
        <w:rPr>
          <w:rFonts w:ascii="Calibri" w:cs="Calibri" w:eastAsia="Calibri" w:hAnsi="Calibri"/>
          <w:b/>
          <w:bCs/>
          <w:sz w:val="22"/>
          <w:szCs w:val="22"/>
        </w:rPr>
        <w:t xml:space="preserve">Furnari Consulting S.r.l., Piazzale F.lli Rosselli snc, 92100 Agrigento (AG), P.IVA IT02623700842</w:t>
      </w:r>
      <w:r>
        <w:rPr>
          <w:rFonts w:ascii="Calibri" w:cs="Calibri" w:eastAsia="Calibri" w:hAnsi="Calibri"/>
          <w:sz w:val="22"/>
          <w:szCs w:val="22"/>
        </w:rPr>
        <w:t xml:space="preserve">, in persona del legale rappresentante pro tempore [nome], PEC [pec], di seguito il "Fornitore";</w:t>
      </w:r>
    </w:p>
    <w:p>
      <w:pPr>
        <w:pStyle w:val="Heading2"/>
        <w:spacing w:after="100" w:before="240"/>
      </w:pPr>
      <w:r>
        <w:t xml:space="preserve">e</w:t>
      </w:r>
    </w:p>
    <w:p>
      <w:pPr>
        <w:spacing w:after="120" w:before="0"/>
      </w:pPr>
      <w:r>
        <w:rPr>
          <w:rFonts w:ascii="Calibri" w:cs="Calibri" w:eastAsia="Calibri" w:hAnsi="Calibri"/>
          <w:b/>
          <w:bCs/>
          <w:sz w:val="22"/>
          <w:szCs w:val="22"/>
        </w:rPr>
        <w:t xml:space="preserve">Consorzio Impianti a Fune Civetta, Via Col di Lana 13/d, 32022 Caprile di Alleghe (BL), P.IVA 00807460258</w:t>
      </w:r>
      <w:r>
        <w:rPr>
          <w:rFonts w:ascii="Calibri" w:cs="Calibri" w:eastAsia="Calibri" w:hAnsi="Calibri"/>
          <w:sz w:val="22"/>
          <w:szCs w:val="22"/>
        </w:rPr>
        <w:t xml:space="preserve">, in persona del legale rappresentante pro tempore [nome], PEC [pec], di seguito il "Cliente".</w:t>
      </w:r>
    </w:p>
    <w:p>
      <w:pPr>
        <w:pStyle w:val="Heading2"/>
        <w:spacing w:after="100" w:before="240"/>
      </w:pPr>
      <w:r>
        <w:t xml:space="preserve">Premesse</w:t>
      </w:r>
    </w:p>
    <w:p>
      <w:pPr>
        <w:pStyle w:val="ListParagraph"/>
        <w:numPr>
          <w:ilvl w:val="0"/>
          <w:numId w:val="2"/>
        </w:numPr>
        <w:spacing w:after="60"/>
      </w:pPr>
      <w:r>
        <w:rPr>
          <w:rFonts w:ascii="Calibri" w:cs="Calibri" w:eastAsia="Calibri" w:hAnsi="Calibri"/>
          <w:sz w:val="22"/>
          <w:szCs w:val="22"/>
        </w:rPr>
        <w:t xml:space="preserve">Il Fornitore ha sviluppato e gestisce il portale web "safecivetta.it" (il "Servizio"), descritto nell'Allegato A, per la registrazione degli interventi di soccorso sulle piste, la produzione dei rapporti, le statistiche e la comunicazione degli infortuni agli enti competenti.</w:t>
      </w:r>
    </w:p>
    <w:p>
      <w:pPr>
        <w:pStyle w:val="ListParagraph"/>
        <w:numPr>
          <w:ilvl w:val="0"/>
          <w:numId w:val="2"/>
        </w:numPr>
        <w:spacing w:after="60"/>
      </w:pPr>
      <w:r>
        <w:rPr>
          <w:rFonts w:ascii="Calibri" w:cs="Calibri" w:eastAsia="Calibri" w:hAnsi="Calibri"/>
          <w:sz w:val="22"/>
          <w:szCs w:val="22"/>
        </w:rPr>
        <w:t xml:space="preserve">Il Cliente gestisce il comprensorio sciistico Civetta e intende utilizzare il Servizio per le proprie squadre di soccorso, in qualità di titolare del trattamento dei dati personali che vi saranno registrati.</w:t>
      </w:r>
    </w:p>
    <w:p>
      <w:pPr>
        <w:pStyle w:val="ListParagraph"/>
        <w:numPr>
          <w:ilvl w:val="0"/>
          <w:numId w:val="2"/>
        </w:numPr>
        <w:spacing w:after="60"/>
      </w:pPr>
      <w:r>
        <w:rPr>
          <w:rFonts w:ascii="Calibri" w:cs="Calibri" w:eastAsia="Calibri" w:hAnsi="Calibri"/>
          <w:sz w:val="22"/>
          <w:szCs w:val="22"/>
        </w:rPr>
        <w:t xml:space="preserve">Il Servizio è attivo dall'11/09/2026 all'indirizzo https://safecivetta.it; le parti intendono regolare con il presente contratto l'uso, i livelli di servizio, la sicurezza, i corrispettivi e i rispettivi obblighi.</w:t>
      </w:r>
    </w:p>
    <w:p>
      <w:pPr>
        <w:pStyle w:val="Heading2"/>
        <w:spacing w:after="100" w:before="240"/>
      </w:pPr>
      <w:r>
        <w:t xml:space="preserve">Art. 1 · Oggetto</w:t>
      </w:r>
    </w:p>
    <w:p>
      <w:pPr>
        <w:pStyle w:val="ListParagraph"/>
        <w:numPr>
          <w:ilvl w:val="0"/>
          <w:numId w:val="3"/>
        </w:numPr>
        <w:spacing w:after="60"/>
      </w:pPr>
      <w:r>
        <w:rPr>
          <w:rFonts w:ascii="Calibri" w:cs="Calibri" w:eastAsia="Calibri" w:hAnsi="Calibri"/>
          <w:sz w:val="22"/>
          <w:szCs w:val="22"/>
        </w:rPr>
        <w:t xml:space="preserve">Il Fornitore concede al Cliente, per la durata del contratto, il diritto non esclusivo e non trasferibile di utilizzare il Servizio tramite internet, per il numero di utenti e squadre necessari alla propria organizzazione, senza limiti di numero salvo quanto previsto all'Allegato F.</w:t>
      </w:r>
    </w:p>
    <w:p>
      <w:pPr>
        <w:pStyle w:val="ListParagraph"/>
        <w:numPr>
          <w:ilvl w:val="0"/>
          <w:numId w:val="3"/>
        </w:numPr>
        <w:spacing w:after="60"/>
      </w:pPr>
      <w:r>
        <w:rPr>
          <w:rFonts w:ascii="Calibri" w:cs="Calibri" w:eastAsia="Calibri" w:hAnsi="Calibri"/>
          <w:sz w:val="22"/>
          <w:szCs w:val="22"/>
        </w:rPr>
        <w:t xml:space="preserve">Il Servizio comprende: l'uso del portale e delle sue funzionalità (Allegato A); l'hosting su infrastruttura nell'Unione Europea; il dominio safecivetta.it e i certificati; le copie di sicurezza (Allegato C); il monitoraggio e la manutenzione correttiva ed evolutiva di sicurezza (Allegato B); l'assistenza (Allegato D); il trattamento dei dati per conto del Cliente (Allegato E).</w:t>
      </w:r>
    </w:p>
    <w:p>
      <w:pPr>
        <w:pStyle w:val="ListParagraph"/>
        <w:numPr>
          <w:ilvl w:val="0"/>
          <w:numId w:val="3"/>
        </w:numPr>
        <w:spacing w:after="60"/>
      </w:pPr>
      <w:r>
        <w:rPr>
          <w:rFonts w:ascii="Calibri" w:cs="Calibri" w:eastAsia="Calibri" w:hAnsi="Calibri"/>
          <w:sz w:val="22"/>
          <w:szCs w:val="22"/>
        </w:rPr>
        <w:t xml:space="preserve">Il software resta di proprietà esclusiva del Fornitore. Nulla nel presente contratto trasferisce al Cliente diritti di proprietà intellettuale sul software, sulla documentazione o sul marchio del Servizio. I dati inseriti dal Cliente restano di sua esclusiva titolarità.</w:t>
      </w:r>
    </w:p>
    <w:p>
      <w:pPr>
        <w:pStyle w:val="Heading2"/>
        <w:spacing w:after="100" w:before="240"/>
      </w:pPr>
      <w:r>
        <w:t xml:space="preserve">Art. 2 · Durata, rinnovo e recesso</w:t>
      </w:r>
    </w:p>
    <w:p>
      <w:pPr>
        <w:pStyle w:val="ListParagraph"/>
        <w:numPr>
          <w:ilvl w:val="0"/>
          <w:numId w:val="3"/>
        </w:numPr>
        <w:spacing w:after="60"/>
      </w:pPr>
      <w:r>
        <w:rPr>
          <w:rFonts w:ascii="Calibri" w:cs="Calibri" w:eastAsia="Calibri" w:hAnsi="Calibri"/>
          <w:sz w:val="22"/>
          <w:szCs w:val="22"/>
        </w:rPr>
        <w:t xml:space="preserve">Il contratto ha durata iniziale di 3 (tre) anni dalla data di sottoscrizione, con decorrenza del canone dal [01/10/2026].</w:t>
      </w:r>
    </w:p>
    <w:p>
      <w:pPr>
        <w:pStyle w:val="ListParagraph"/>
        <w:numPr>
          <w:ilvl w:val="0"/>
          <w:numId w:val="3"/>
        </w:numPr>
        <w:spacing w:after="60"/>
      </w:pPr>
      <w:r>
        <w:rPr>
          <w:rFonts w:ascii="Calibri" w:cs="Calibri" w:eastAsia="Calibri" w:hAnsi="Calibri"/>
          <w:sz w:val="22"/>
          <w:szCs w:val="22"/>
        </w:rPr>
        <w:t xml:space="preserve">Alla scadenza il contratto si rinnova automaticamente per successivi periodi di [12 (dodici) mesi], salvo disdetta comunicata da una delle parti a mezzo PEC almeno 6 (sei) mesi prima della scadenza.</w:t>
      </w:r>
    </w:p>
    <w:p>
      <w:pPr>
        <w:pStyle w:val="ListParagraph"/>
        <w:numPr>
          <w:ilvl w:val="0"/>
          <w:numId w:val="3"/>
        </w:numPr>
        <w:spacing w:after="60"/>
      </w:pPr>
      <w:r>
        <w:rPr>
          <w:rFonts w:ascii="Calibri" w:cs="Calibri" w:eastAsia="Calibri" w:hAnsi="Calibri"/>
          <w:sz w:val="22"/>
          <w:szCs w:val="22"/>
        </w:rPr>
        <w:t xml:space="preserve">Ciascuna parte può risolvere il contratto, con comunicazione a mezzo PEC, in caso di inadempimento grave dell'altra parte non sanato entro 30 giorni dalla contestazione scritta, oppure in caso di fallimento, liquidazione o cessazione dell'attività.</w:t>
      </w:r>
    </w:p>
    <w:p>
      <w:pPr>
        <w:pStyle w:val="ListParagraph"/>
        <w:numPr>
          <w:ilvl w:val="0"/>
          <w:numId w:val="3"/>
        </w:numPr>
        <w:spacing w:after="60"/>
      </w:pPr>
      <w:r>
        <w:rPr>
          <w:rFonts w:ascii="Calibri" w:cs="Calibri" w:eastAsia="Calibri" w:hAnsi="Calibri"/>
          <w:sz w:val="22"/>
          <w:szCs w:val="22"/>
        </w:rPr>
        <w:t xml:space="preserve">Alla cessazione per qualsiasi causa si applica l'Art. 9 (restituzione dei dati e transizione).</w:t>
      </w:r>
    </w:p>
    <w:p>
      <w:pPr>
        <w:pStyle w:val="Heading2"/>
        <w:spacing w:after="100" w:before="240"/>
      </w:pPr>
      <w:r>
        <w:t xml:space="preserve">Art. 3 · Corrispettivi</w:t>
      </w:r>
    </w:p>
    <w:p>
      <w:pPr>
        <w:pStyle w:val="ListParagraph"/>
        <w:numPr>
          <w:ilvl w:val="0"/>
          <w:numId w:val="3"/>
        </w:numPr>
        <w:spacing w:after="60"/>
      </w:pPr>
      <w:r>
        <w:rPr>
          <w:rFonts w:ascii="Calibri" w:cs="Calibri" w:eastAsia="Calibri" w:hAnsi="Calibri"/>
          <w:sz w:val="22"/>
          <w:szCs w:val="22"/>
        </w:rPr>
        <w:t xml:space="preserve">Il Cliente corrisponde al Fornitore un canone semestrale anticipato secondo l'Allegato F, comprensivo di tutti i costi di server, dominio, certificati, copie di sicurezza, monitoraggio, manutenzione e assistenza in orario d'ufficio.</w:t>
      </w:r>
    </w:p>
    <w:p>
      <w:pPr>
        <w:pStyle w:val="ListParagraph"/>
        <w:numPr>
          <w:ilvl w:val="0"/>
          <w:numId w:val="3"/>
        </w:numPr>
        <w:spacing w:after="60"/>
      </w:pPr>
      <w:r>
        <w:rPr>
          <w:rFonts w:ascii="Calibri" w:cs="Calibri" w:eastAsia="Calibri" w:hAnsi="Calibri"/>
          <w:sz w:val="22"/>
          <w:szCs w:val="22"/>
        </w:rPr>
        <w:t xml:space="preserve">Il canone è fatturato all'inizio di ciascun semestre con pagamento a 30 giorni data fattura mediante bonifico bancario. Gli importi si intendono al netto di IVA.</w:t>
      </w:r>
    </w:p>
    <w:p>
      <w:pPr>
        <w:pStyle w:val="ListParagraph"/>
        <w:numPr>
          <w:ilvl w:val="0"/>
          <w:numId w:val="3"/>
        </w:numPr>
        <w:spacing w:after="60"/>
      </w:pPr>
      <w:r>
        <w:rPr>
          <w:rFonts w:ascii="Calibri" w:cs="Calibri" w:eastAsia="Calibri" w:hAnsi="Calibri"/>
          <w:sz w:val="22"/>
          <w:szCs w:val="22"/>
        </w:rPr>
        <w:t xml:space="preserve">A partire dal secondo anno il canone è aggiornato annualmente in misura pari alla variazione dell'indice ISTAT FOI, con un massimo del [3%] annuo.</w:t>
      </w:r>
    </w:p>
    <w:p>
      <w:pPr>
        <w:pStyle w:val="ListParagraph"/>
        <w:numPr>
          <w:ilvl w:val="0"/>
          <w:numId w:val="3"/>
        </w:numPr>
        <w:spacing w:after="60"/>
      </w:pPr>
      <w:r>
        <w:rPr>
          <w:rFonts w:ascii="Calibri" w:cs="Calibri" w:eastAsia="Calibri" w:hAnsi="Calibri"/>
          <w:sz w:val="22"/>
          <w:szCs w:val="22"/>
        </w:rPr>
        <w:t xml:space="preserve">Le attività non comprese nel canone (Allegato F, sezione "Esclusioni") sono preventivate separatamente e svolte solo su ordine scritto del Cliente.</w:t>
      </w:r>
    </w:p>
    <w:p>
      <w:pPr>
        <w:pStyle w:val="ListParagraph"/>
        <w:numPr>
          <w:ilvl w:val="0"/>
          <w:numId w:val="3"/>
        </w:numPr>
        <w:spacing w:after="60"/>
      </w:pPr>
      <w:r>
        <w:rPr>
          <w:rFonts w:ascii="Calibri" w:cs="Calibri" w:eastAsia="Calibri" w:hAnsi="Calibri"/>
          <w:sz w:val="22"/>
          <w:szCs w:val="22"/>
        </w:rPr>
        <w:t xml:space="preserve">In caso di ritardo nei pagamenti superiore a 30 giorni, previo sollecito scritto, il Fornitore può sospendere l'assistenza e, decorsi ulteriori 30 giorni, l'accesso al Servizio, fermo restando l'obbligo di conservare i dati per il periodo di cui all'Art. 9.</w:t>
      </w:r>
    </w:p>
    <w:p>
      <w:pPr>
        <w:pStyle w:val="Heading2"/>
        <w:spacing w:after="100" w:before="240"/>
      </w:pPr>
      <w:r>
        <w:t xml:space="preserve">Art. 4 · Livelli di servizio</w:t>
      </w:r>
    </w:p>
    <w:p>
      <w:pPr>
        <w:pStyle w:val="ListParagraph"/>
        <w:numPr>
          <w:ilvl w:val="0"/>
          <w:numId w:val="3"/>
        </w:numPr>
        <w:spacing w:after="60"/>
      </w:pPr>
      <w:r>
        <w:rPr>
          <w:rFonts w:ascii="Calibri" w:cs="Calibri" w:eastAsia="Calibri" w:hAnsi="Calibri"/>
          <w:sz w:val="22"/>
          <w:szCs w:val="22"/>
        </w:rPr>
        <w:t xml:space="preserve">Il Fornitore garantisce i livelli di servizio dell'Allegato D: disponibilità, finestre di manutenzione, tempi di presa in carico e di risoluzione, obiettivi di ripristino.</w:t>
      </w:r>
    </w:p>
    <w:p>
      <w:pPr>
        <w:pStyle w:val="ListParagraph"/>
        <w:numPr>
          <w:ilvl w:val="0"/>
          <w:numId w:val="3"/>
        </w:numPr>
        <w:spacing w:after="60"/>
      </w:pPr>
      <w:r>
        <w:rPr>
          <w:rFonts w:ascii="Calibri" w:cs="Calibri" w:eastAsia="Calibri" w:hAnsi="Calibri"/>
          <w:sz w:val="22"/>
          <w:szCs w:val="22"/>
        </w:rPr>
        <w:t xml:space="preserve">La disponibilità è misurata dal controllo esterno di raggiungibilità concordato (UptimeRobot o equivalente), con esclusione delle finestre di manutenzione comunicate, delle cause di forza maggiore e dei malfunzionamenti dei fornitori terzi di rete non imputabili al Fornitore.</w:t>
      </w:r>
    </w:p>
    <w:p>
      <w:pPr>
        <w:pStyle w:val="ListParagraph"/>
        <w:numPr>
          <w:ilvl w:val="0"/>
          <w:numId w:val="3"/>
        </w:numPr>
        <w:spacing w:after="60"/>
      </w:pPr>
      <w:r>
        <w:rPr>
          <w:rFonts w:ascii="Calibri" w:cs="Calibri" w:eastAsia="Calibri" w:hAnsi="Calibri"/>
          <w:sz w:val="22"/>
          <w:szCs w:val="22"/>
        </w:rPr>
        <w:t xml:space="preserve">Il mancato rispetto della disponibilità dà diritto ai crediti dell'Allegato D, che costituiscono l'unico rimedio economico per tale inadempimento, salvo il caso di dolo o colpa grave.</w:t>
      </w:r>
    </w:p>
    <w:p>
      <w:pPr>
        <w:pStyle w:val="Heading2"/>
        <w:spacing w:after="100" w:before="240"/>
      </w:pPr>
      <w:r>
        <w:t xml:space="preserve">Art. 5 · Sicurezza e protezione dei dati</w:t>
      </w:r>
    </w:p>
    <w:p>
      <w:pPr>
        <w:pStyle w:val="ListParagraph"/>
        <w:numPr>
          <w:ilvl w:val="0"/>
          <w:numId w:val="3"/>
        </w:numPr>
        <w:spacing w:after="60"/>
      </w:pPr>
      <w:r>
        <w:rPr>
          <w:rFonts w:ascii="Calibri" w:cs="Calibri" w:eastAsia="Calibri" w:hAnsi="Calibri"/>
          <w:sz w:val="22"/>
          <w:szCs w:val="22"/>
        </w:rPr>
        <w:t xml:space="preserve">Il Fornitore adotta e mantiene le misure tecniche e organizzative dell'Allegato B. I dati identificativi delle persone soccorse sono cifrati sul dispositivo dell'utente con chiavi detenute esclusivamente dal Cliente: il Fornitore non ha la possibilità tecnica di leggerli.</w:t>
      </w:r>
    </w:p>
    <w:p>
      <w:pPr>
        <w:pStyle w:val="ListParagraph"/>
        <w:numPr>
          <w:ilvl w:val="0"/>
          <w:numId w:val="3"/>
        </w:numPr>
        <w:spacing w:after="60"/>
      </w:pPr>
      <w:r>
        <w:rPr>
          <w:rFonts w:ascii="Calibri" w:cs="Calibri" w:eastAsia="Calibri" w:hAnsi="Calibri"/>
          <w:sz w:val="22"/>
          <w:szCs w:val="22"/>
        </w:rPr>
        <w:t xml:space="preserve">Il Fornitore tratta i dati personali per conto del Cliente in qualità di responsabile del trattamento ai sensi dell'art. 28 GDPR, secondo l'Allegato E, che forma parte integrante del contratto.</w:t>
      </w:r>
    </w:p>
    <w:p>
      <w:pPr>
        <w:pStyle w:val="ListParagraph"/>
        <w:numPr>
          <w:ilvl w:val="0"/>
          <w:numId w:val="3"/>
        </w:numPr>
        <w:spacing w:after="60"/>
      </w:pPr>
      <w:r>
        <w:rPr>
          <w:rFonts w:ascii="Calibri" w:cs="Calibri" w:eastAsia="Calibri" w:hAnsi="Calibri"/>
          <w:sz w:val="22"/>
          <w:szCs w:val="22"/>
        </w:rPr>
        <w:t xml:space="preserve">Il Fornitore comunica al Cliente senza ingiustificato ritardo, e comunque entro 24 ore dalla scoperta, ogni violazione dei dati personali, fornendo le informazioni necessarie per gli adempimenti degli artt. 33 e 34 GDPR.</w:t>
      </w:r>
    </w:p>
    <w:p>
      <w:pPr>
        <w:pStyle w:val="ListParagraph"/>
        <w:numPr>
          <w:ilvl w:val="0"/>
          <w:numId w:val="3"/>
        </w:numPr>
        <w:spacing w:after="60"/>
      </w:pPr>
      <w:r>
        <w:rPr>
          <w:rFonts w:ascii="Calibri" w:cs="Calibri" w:eastAsia="Calibri" w:hAnsi="Calibri"/>
          <w:sz w:val="22"/>
          <w:szCs w:val="22"/>
        </w:rPr>
        <w:t xml:space="preserve">Il Fornitore mantiene i sistemi aggiornati con le correzioni di sicurezza, esegue le verifiche periodiche dell'Allegato B e conserva il registro delle operazioni (audit) per la durata prevista dal Cliente.</w:t>
      </w:r>
    </w:p>
    <w:p>
      <w:pPr>
        <w:pStyle w:val="Heading2"/>
        <w:spacing w:after="100" w:before="240"/>
      </w:pPr>
      <w:r>
        <w:t xml:space="preserve">Art. 6 · Copie di sicurezza e continuità</w:t>
      </w:r>
    </w:p>
    <w:p>
      <w:pPr>
        <w:pStyle w:val="ListParagraph"/>
        <w:numPr>
          <w:ilvl w:val="0"/>
          <w:numId w:val="3"/>
        </w:numPr>
        <w:spacing w:after="60"/>
      </w:pPr>
      <w:r>
        <w:rPr>
          <w:rFonts w:ascii="Calibri" w:cs="Calibri" w:eastAsia="Calibri" w:hAnsi="Calibri"/>
          <w:sz w:val="22"/>
          <w:szCs w:val="22"/>
        </w:rPr>
        <w:t xml:space="preserve">Il Fornitore esegue le copie di sicurezza secondo l'Allegato C, con copia esterna in un data center nell'Unione Europea presso un fornitore diverso da quello del server, cifrata con chiave detenuta dal Fornitore e conservata anche presso il Cliente.</w:t>
      </w:r>
    </w:p>
    <w:p>
      <w:pPr>
        <w:pStyle w:val="ListParagraph"/>
        <w:numPr>
          <w:ilvl w:val="0"/>
          <w:numId w:val="3"/>
        </w:numPr>
        <w:spacing w:after="60"/>
      </w:pPr>
      <w:r>
        <w:rPr>
          <w:rFonts w:ascii="Calibri" w:cs="Calibri" w:eastAsia="Calibri" w:hAnsi="Calibri"/>
          <w:sz w:val="22"/>
          <w:szCs w:val="22"/>
        </w:rPr>
        <w:t xml:space="preserve">Il Fornitore esegue almeno una volta l'anno una prova di ripristino e ne comunica l'esito al Cliente.</w:t>
      </w:r>
    </w:p>
    <w:p>
      <w:pPr>
        <w:pStyle w:val="Heading2"/>
        <w:spacing w:after="100" w:before="240"/>
      </w:pPr>
      <w:r>
        <w:t xml:space="preserve">Art. 7 · Obblighi del Cliente</w:t>
      </w:r>
    </w:p>
    <w:p>
      <w:pPr>
        <w:pStyle w:val="ListParagraph"/>
        <w:numPr>
          <w:ilvl w:val="0"/>
          <w:numId w:val="3"/>
        </w:numPr>
        <w:spacing w:after="60"/>
      </w:pPr>
      <w:r>
        <w:rPr>
          <w:rFonts w:ascii="Calibri" w:cs="Calibri" w:eastAsia="Calibri" w:hAnsi="Calibri"/>
          <w:sz w:val="22"/>
          <w:szCs w:val="22"/>
        </w:rPr>
        <w:t xml:space="preserve">Il Cliente designa un amministratore e almeno due custodi delle chiavi di cifratura; custodisce in luogo sicuro le parole di recupero e le passphrase; il Fornitore non può recuperarle e non risponde della perdita dei dati identificativi conseguente alla loro perdita.</w:t>
      </w:r>
    </w:p>
    <w:p>
      <w:pPr>
        <w:pStyle w:val="ListParagraph"/>
        <w:numPr>
          <w:ilvl w:val="0"/>
          <w:numId w:val="3"/>
        </w:numPr>
        <w:spacing w:after="60"/>
      </w:pPr>
      <w:r>
        <w:rPr>
          <w:rFonts w:ascii="Calibri" w:cs="Calibri" w:eastAsia="Calibri" w:hAnsi="Calibri"/>
          <w:sz w:val="22"/>
          <w:szCs w:val="22"/>
        </w:rPr>
        <w:t xml:space="preserve">Il Cliente gestisce i propri utenti (inviti, ruoli, squadre, disattivazioni), vigila sull'uso corretto del Servizio e sul rispetto della guida operativa, e istruisce gli operatori a non inserire dati identificativi nei campi liberi.</w:t>
      </w:r>
    </w:p>
    <w:p>
      <w:pPr>
        <w:pStyle w:val="ListParagraph"/>
        <w:numPr>
          <w:ilvl w:val="0"/>
          <w:numId w:val="3"/>
        </w:numPr>
        <w:spacing w:after="60"/>
      </w:pPr>
      <w:r>
        <w:rPr>
          <w:rFonts w:ascii="Calibri" w:cs="Calibri" w:eastAsia="Calibri" w:hAnsi="Calibri"/>
          <w:sz w:val="22"/>
          <w:szCs w:val="22"/>
        </w:rPr>
        <w:t xml:space="preserve">Il Cliente, in qualità di titolare, fornisce l'informativa agli interessati, tiene il registro dei trattamenti, effettua la valutazione d'impatto e riscontra le richieste degli interessati, con il supporto tecnico del Fornitore.</w:t>
      </w:r>
    </w:p>
    <w:p>
      <w:pPr>
        <w:pStyle w:val="ListParagraph"/>
        <w:numPr>
          <w:ilvl w:val="0"/>
          <w:numId w:val="3"/>
        </w:numPr>
        <w:spacing w:after="60"/>
      </w:pPr>
      <w:r>
        <w:rPr>
          <w:rFonts w:ascii="Calibri" w:cs="Calibri" w:eastAsia="Calibri" w:hAnsi="Calibri"/>
          <w:sz w:val="22"/>
          <w:szCs w:val="22"/>
        </w:rPr>
        <w:t xml:space="preserve">Il Cliente utilizza il Servizio nel rispetto della legge e non ne consente l'uso a terzi estranei alla propria organizzazione.</w:t>
      </w:r>
    </w:p>
    <w:p>
      <w:pPr>
        <w:pStyle w:val="Heading2"/>
        <w:spacing w:after="100" w:before="240"/>
      </w:pPr>
      <w:r>
        <w:t xml:space="preserve">Art. 8 · Assistenza, manutenzione ed evoluzioni</w:t>
      </w:r>
    </w:p>
    <w:p>
      <w:pPr>
        <w:pStyle w:val="ListParagraph"/>
        <w:numPr>
          <w:ilvl w:val="0"/>
          <w:numId w:val="3"/>
        </w:numPr>
        <w:spacing w:after="60"/>
      </w:pPr>
      <w:r>
        <w:rPr>
          <w:rFonts w:ascii="Calibri" w:cs="Calibri" w:eastAsia="Calibri" w:hAnsi="Calibri"/>
          <w:sz w:val="22"/>
          <w:szCs w:val="22"/>
        </w:rPr>
        <w:t xml:space="preserve">L'assistenza è prestata nei giorni lavorativi, dal lunedì al venerdì, dalle 9:00 alle 13:00 e dalle 14:00 alle 18:00, tramite email [assistenza@...] e telefono [numero], con i tempi dell'Allegato D.</w:t>
      </w:r>
    </w:p>
    <w:p>
      <w:pPr>
        <w:pStyle w:val="ListParagraph"/>
        <w:numPr>
          <w:ilvl w:val="0"/>
          <w:numId w:val="3"/>
        </w:numPr>
        <w:spacing w:after="60"/>
      </w:pPr>
      <w:r>
        <w:rPr>
          <w:rFonts w:ascii="Calibri" w:cs="Calibri" w:eastAsia="Calibri" w:hAnsi="Calibri"/>
          <w:sz w:val="22"/>
          <w:szCs w:val="22"/>
        </w:rPr>
        <w:t xml:space="preserve">La manutenzione correttiva (difetti) e di sicurezza è compresa nel canone. Le manutenzioni ordinarie sono eseguite di norma in orario notturno, con preavviso di 48 ore quando comportano interruzione.</w:t>
      </w:r>
    </w:p>
    <w:p>
      <w:pPr>
        <w:pStyle w:val="ListParagraph"/>
        <w:numPr>
          <w:ilvl w:val="0"/>
          <w:numId w:val="3"/>
        </w:numPr>
        <w:spacing w:after="60"/>
      </w:pPr>
      <w:r>
        <w:rPr>
          <w:rFonts w:ascii="Calibri" w:cs="Calibri" w:eastAsia="Calibri" w:hAnsi="Calibri"/>
          <w:sz w:val="22"/>
          <w:szCs w:val="22"/>
        </w:rPr>
        <w:t xml:space="preserve">Le evoluzioni funzionali richieste dal Cliente, l'app mobile e le integrazioni con sistemi terzi sono preventivate a parte secondo le tariffe dell'Allegato F. Le evoluzioni che il Fornitore rilascia a tutti i clienti del Servizio sono comprese nel canone.</w:t>
      </w:r>
    </w:p>
    <w:p>
      <w:pPr>
        <w:pStyle w:val="Heading2"/>
        <w:spacing w:after="100" w:before="240"/>
      </w:pPr>
      <w:r>
        <w:t xml:space="preserve">Art. 9 · Cessazione, restituzione dei dati e transizione</w:t>
      </w:r>
    </w:p>
    <w:p>
      <w:pPr>
        <w:pStyle w:val="ListParagraph"/>
        <w:numPr>
          <w:ilvl w:val="0"/>
          <w:numId w:val="3"/>
        </w:numPr>
        <w:spacing w:after="60"/>
      </w:pPr>
      <w:r>
        <w:rPr>
          <w:rFonts w:ascii="Calibri" w:cs="Calibri" w:eastAsia="Calibri" w:hAnsi="Calibri"/>
          <w:sz w:val="22"/>
          <w:szCs w:val="22"/>
        </w:rPr>
        <w:t xml:space="preserve">Alla cessazione del contratto il Fornitore consegna al Cliente, entro 30 giorni e senza costi aggiuntivi, una copia completa dei dati in formato leggibile e documentato (esportazione del database e dei file), comprensiva dei dati identificativi cifrati, e mantiene il Servizio accessibile in sola lettura per 60 giorni.</w:t>
      </w:r>
    </w:p>
    <w:p>
      <w:pPr>
        <w:pStyle w:val="ListParagraph"/>
        <w:numPr>
          <w:ilvl w:val="0"/>
          <w:numId w:val="3"/>
        </w:numPr>
        <w:spacing w:after="60"/>
      </w:pPr>
      <w:r>
        <w:rPr>
          <w:rFonts w:ascii="Calibri" w:cs="Calibri" w:eastAsia="Calibri" w:hAnsi="Calibri"/>
          <w:sz w:val="22"/>
          <w:szCs w:val="22"/>
        </w:rPr>
        <w:t xml:space="preserve">Su richiesta del Cliente il Fornitore trasferisce al Cliente la titolarità del dominio safecivetta.it. Decorsi 90 giorni dalla cessazione il Fornitore cancella i dati e le copie di sicurezza, salvo obblighi di legge, e ne dà conferma scritta.</w:t>
      </w:r>
    </w:p>
    <w:p>
      <w:pPr>
        <w:pStyle w:val="ListParagraph"/>
        <w:numPr>
          <w:ilvl w:val="0"/>
          <w:numId w:val="3"/>
        </w:numPr>
        <w:spacing w:after="60"/>
      </w:pPr>
      <w:r>
        <w:rPr>
          <w:rFonts w:ascii="Calibri" w:cs="Calibri" w:eastAsia="Calibri" w:hAnsi="Calibri"/>
          <w:sz w:val="22"/>
          <w:szCs w:val="22"/>
        </w:rPr>
        <w:t xml:space="preserve">Il Fornitore presta, a tariffa oraria dell'Allegato F, l'assistenza ragionevolmente necessaria alla migrazione verso altro sistema.</w:t>
      </w:r>
    </w:p>
    <w:p>
      <w:pPr>
        <w:pStyle w:val="Heading2"/>
        <w:spacing w:after="100" w:before="240"/>
      </w:pPr>
      <w:r>
        <w:t xml:space="preserve">Art. 10 · Responsabilità</w:t>
      </w:r>
    </w:p>
    <w:p>
      <w:pPr>
        <w:pStyle w:val="ListParagraph"/>
        <w:numPr>
          <w:ilvl w:val="0"/>
          <w:numId w:val="3"/>
        </w:numPr>
        <w:spacing w:after="60"/>
      </w:pPr>
      <w:r>
        <w:rPr>
          <w:rFonts w:ascii="Calibri" w:cs="Calibri" w:eastAsia="Calibri" w:hAnsi="Calibri"/>
          <w:sz w:val="22"/>
          <w:szCs w:val="22"/>
        </w:rPr>
        <w:t xml:space="preserve">Il Fornitore risponde dei danni diretti causati da propria colpa nell'esecuzione del contratto nel limite dell'importo dei canoni corrisposti nei 12 mesi precedenti l'evento, salvo dolo o colpa grave e salvo quanto inderogabilmente previsto dalla legge.</w:t>
      </w:r>
    </w:p>
    <w:p>
      <w:pPr>
        <w:pStyle w:val="ListParagraph"/>
        <w:numPr>
          <w:ilvl w:val="0"/>
          <w:numId w:val="3"/>
        </w:numPr>
        <w:spacing w:after="60"/>
      </w:pPr>
      <w:r>
        <w:rPr>
          <w:rFonts w:ascii="Calibri" w:cs="Calibri" w:eastAsia="Calibri" w:hAnsi="Calibri"/>
          <w:sz w:val="22"/>
          <w:szCs w:val="22"/>
        </w:rPr>
        <w:t xml:space="preserve">Il Fornitore non risponde dei danni derivanti da uso improprio del Servizio, da credenziali o chiavi non custodite, da dati inseriti dagli utenti del Cliente, da interruzioni di rete o di servizi terzi non imputabili al Fornitore, né di danni indiretti o mancato guadagno.</w:t>
      </w:r>
    </w:p>
    <w:p>
      <w:pPr>
        <w:pStyle w:val="ListParagraph"/>
        <w:numPr>
          <w:ilvl w:val="0"/>
          <w:numId w:val="3"/>
        </w:numPr>
        <w:spacing w:after="60"/>
      </w:pPr>
      <w:r>
        <w:rPr>
          <w:rFonts w:ascii="Calibri" w:cs="Calibri" w:eastAsia="Calibri" w:hAnsi="Calibri"/>
          <w:sz w:val="22"/>
          <w:szCs w:val="22"/>
        </w:rPr>
        <w:t xml:space="preserve">Il Servizio non sostituisce le procedure di soccorso e di comunicazione di emergenza del Cliente: l'indisponibilità del portale non esonera il Cliente dai propri obblighi operativi.</w:t>
      </w:r>
    </w:p>
    <w:p>
      <w:pPr>
        <w:pStyle w:val="Heading2"/>
        <w:spacing w:after="100" w:before="240"/>
      </w:pPr>
      <w:r>
        <w:t xml:space="preserve">Art. 11 · Riservatezza</w:t>
      </w:r>
    </w:p>
    <w:p>
      <w:pPr>
        <w:spacing w:after="120" w:before="0"/>
      </w:pPr>
      <w:r>
        <w:rPr>
          <w:rFonts w:ascii="Calibri" w:cs="Calibri" w:eastAsia="Calibri" w:hAnsi="Calibri"/>
          <w:sz w:val="22"/>
          <w:szCs w:val="22"/>
        </w:rPr>
        <w:t xml:space="preserve">Ciascuna parte mantiene riservate le informazioni tecniche, organizzative ed economiche dell'altra apprese in esecuzione del contratto, per tutta la durata e per 5 anni dalla cessazione, salvo obblighi di legge.</w:t>
      </w:r>
    </w:p>
    <w:p>
      <w:pPr>
        <w:pStyle w:val="Heading2"/>
        <w:spacing w:after="100" w:before="240"/>
      </w:pPr>
      <w:r>
        <w:t xml:space="preserve">Art. 12 · Disposizioni generali</w:t>
      </w:r>
    </w:p>
    <w:p>
      <w:pPr>
        <w:pStyle w:val="ListParagraph"/>
        <w:numPr>
          <w:ilvl w:val="0"/>
          <w:numId w:val="3"/>
        </w:numPr>
        <w:spacing w:after="60"/>
      </w:pPr>
      <w:r>
        <w:rPr>
          <w:rFonts w:ascii="Calibri" w:cs="Calibri" w:eastAsia="Calibri" w:hAnsi="Calibri"/>
          <w:sz w:val="22"/>
          <w:szCs w:val="22"/>
        </w:rPr>
        <w:t xml:space="preserve">Il contratto, con i suoi allegati, costituisce l'intero accordo tra le parti e sostituisce ogni intesa precedente. Le modifiche richiedono forma scritta.</w:t>
      </w:r>
    </w:p>
    <w:p>
      <w:pPr>
        <w:pStyle w:val="ListParagraph"/>
        <w:numPr>
          <w:ilvl w:val="0"/>
          <w:numId w:val="3"/>
        </w:numPr>
        <w:spacing w:after="60"/>
      </w:pPr>
      <w:r>
        <w:rPr>
          <w:rFonts w:ascii="Calibri" w:cs="Calibri" w:eastAsia="Calibri" w:hAnsi="Calibri"/>
          <w:sz w:val="22"/>
          <w:szCs w:val="22"/>
        </w:rPr>
        <w:t xml:space="preserve">Nessuna delle parti è responsabile per inadempimenti dovuti a forza maggiore. Il Fornitore può avvalersi di sub-fornitori per l'infrastruttura, nel rispetto dell'Allegato E.</w:t>
      </w:r>
    </w:p>
    <w:p>
      <w:pPr>
        <w:pStyle w:val="ListParagraph"/>
        <w:numPr>
          <w:ilvl w:val="0"/>
          <w:numId w:val="3"/>
        </w:numPr>
        <w:spacing w:after="60"/>
      </w:pPr>
      <w:r>
        <w:rPr>
          <w:rFonts w:ascii="Calibri" w:cs="Calibri" w:eastAsia="Calibri" w:hAnsi="Calibri"/>
          <w:sz w:val="22"/>
          <w:szCs w:val="22"/>
        </w:rPr>
        <w:t xml:space="preserve">Il contratto è regolato dalla legge italiana. Per ogni controversia è competente in via esclusiva il Foro di [Belluno / Agrigento].</w:t>
      </w:r>
    </w:p>
    <w:p>
      <w:pPr>
        <w:pStyle w:val="ListParagraph"/>
        <w:numPr>
          <w:ilvl w:val="0"/>
          <w:numId w:val="3"/>
        </w:numPr>
        <w:spacing w:after="60"/>
      </w:pPr>
      <w:r>
        <w:rPr>
          <w:rFonts w:ascii="Calibri" w:cs="Calibri" w:eastAsia="Calibri" w:hAnsi="Calibri"/>
          <w:sz w:val="22"/>
          <w:szCs w:val="22"/>
        </w:rPr>
        <w:t xml:space="preserve">Ai sensi degli artt. 1341 e 1342 c.c. il Cliente approva specificamente gli articoli 2 (rinnovo e recesso), 3.5 (sospensione), 4.3 (crediti come unico rimedio), 10 (responsabilità) e 12.3 (foro).</w:t>
      </w:r>
    </w:p>
    <w:p>
      <w:pPr>
        <w:spacing w:after="120" w:before="240"/>
      </w:pPr>
      <w:r>
        <w:rPr>
          <w:rFonts w:ascii="Calibri" w:cs="Calibri" w:eastAsia="Calibri" w:hAnsi="Calibri"/>
          <w:sz w:val="22"/>
          <w:szCs w:val="22"/>
        </w:rPr>
        <w:t xml:space="preserve">Luogo e data: ______________________</w:t>
      </w:r>
    </w:p>
    <w:p>
      <w:pPr>
        <w:spacing w:after="120" w:before="0"/>
      </w:pPr>
      <w:r>
        <w:rPr>
          <w:rFonts w:ascii="Calibri" w:cs="Calibri" w:eastAsia="Calibri" w:hAnsi="Calibri"/>
          <w:sz w:val="22"/>
          <w:szCs w:val="22"/>
        </w:rPr>
        <w:t xml:space="preserve">Per il Fornitore: ______________________          Per il Cliente: ______________________</w:t>
      </w:r>
    </w:p>
    <w:p>
      <w:pPr>
        <w:spacing w:after="120" w:before="0"/>
      </w:pPr>
      <w:r>
        <w:rPr>
          <w:rFonts w:ascii="Calibri" w:cs="Calibri" w:eastAsia="Calibri" w:hAnsi="Calibri"/>
          <w:sz w:val="22"/>
          <w:szCs w:val="22"/>
        </w:rPr>
        <w:t xml:space="preserve">Per approvazione specifica ex artt. 1341-1342 c.c., il Cliente: ______________________</w:t>
      </w:r>
    </w:p>
    <w:p>
      <w:r>
        <w:br w:type="page"/>
      </w:r>
    </w:p>
    <w:p>
      <w:pPr>
        <w:pStyle w:val="Heading1"/>
        <w:spacing w:after="140" w:before="320"/>
      </w:pPr>
      <w:r>
        <w:t xml:space="preserve">Allegato A · Descrizione del Servizio</w:t>
      </w:r>
    </w:p>
    <w:p>
      <w:pPr>
        <w:spacing w:after="120" w:before="0"/>
      </w:pPr>
      <w:r>
        <w:rPr>
          <w:rFonts w:ascii="Calibri" w:cs="Calibri" w:eastAsia="Calibri" w:hAnsi="Calibri"/>
          <w:sz w:val="22"/>
          <w:szCs w:val="22"/>
        </w:rPr>
        <w:t xml:space="preserve">Portale web accessibile da browser su computer, tablet e telefono, in italiano, inglese e tedesco, all'indirizzo https://safecivetta.it. Stato al 12/09/2026.</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120"/>
        <w:gridCol w:w="7518"/>
      </w:tblGrid>
      <w:tr>
        <w:trPr>
          <w:tblHeader/>
        </w:trPr>
        <w:tc>
          <w:tcPr>
            <w:tcW w:type="dxa" w:w="2120"/>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Area</w:t>
            </w:r>
          </w:p>
        </w:tc>
        <w:tc>
          <w:tcPr>
            <w:tcW w:type="dxa" w:w="7518"/>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Funzionalità</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Accesso</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Accesso con email e password tramite servizio di identità dedicato; autenticazione a due fattori (app TOTP) attivabile per utente; inviti via email; reset password autonomo; sessioni con scadenza</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Eventi</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Registrazione dell'intervento: data e ora, squadra, operatori, luogo con posizione sulla mappa, comprensorio, zona, pista, condizioni, causa, note; regole di validità; blocco e sblocco con motivo; storico delle operazioni; ricerca e filtri; codice breve</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Persone soccorse</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Dati anagrafici, attrezzatura, dati clinici di primo soccorso, assicurazione, destinazione; dati identificativi cifrati end-to-end leggibili solo dagli utenti abilitati</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Rapporto PDF</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Generazione del rapporto d'intervento in PDF, senza dati identificativi</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Statistiche</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Riepilogo di stagione per squadra, per zona, demografia, tipologia, geografia, meteo; filtri globali per squadra, stagione, periodo, comprensorio, zona</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Mappa</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Eventi georeferenziati su base cartografica con stili inverno, estate e satellite</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Esportazioni</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Dataset CSV/XLSX con i filtri correnti; export regionale nel tracciato A01 Veneto per Provincia con anteprima della qualità dei dati</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Gestione</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Utenti, ruoli e permessi personalizzati, squadre, territorio (comprensori, zone, piste con codice regionale, impianti), vocabolari, impostazioni della società (prima stagione visibile, blocco automatico, regole di validità, duplicati, conservazione), dispositivi per la futura app mobile</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Cifratura e chiavi</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Chiave personale per utente; chiave della società con custodi, abilitazioni nominative, rotazione e recupero con 24 parole</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Audit e conservazione</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Registro non modificabile delle operazioni; anonimizzazione automatica dei dati identificativi allo scadere del periodo impostato (10 anni)</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Territorio caricato</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Confini ISTAT 2025; comprensorio Civetta; zone Alleghe, Val Fiorentina, S. Fosca, Pecol, Palafavera; piste con codice regionale (caricamento degli elenchi forniti dal Cliente compreso nel canone)</w:t>
            </w:r>
          </w:p>
        </w:tc>
      </w:tr>
      <w:tr>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Non compreso</w:t>
            </w:r>
          </w:p>
        </w:tc>
        <w:tc>
          <w:tcPr>
            <w:tcW w:type="dxa" w:w="7518"/>
            <w:tcMar>
              <w:top w:type="dxa" w:w="60"/>
              <w:left w:type="dxa" w:w="90"/>
              <w:bottom w:type="dxa" w:w="60"/>
              <w:right w:type="dxa" w:w="90"/>
            </w:tcMar>
          </w:tcPr>
          <w:p>
            <w:pPr>
              <w:spacing w:after="40"/>
            </w:pPr>
            <w:r>
              <w:rPr>
                <w:rFonts w:ascii="Calibri" w:cs="Calibri" w:eastAsia="Calibri" w:hAnsi="Calibri"/>
                <w:sz w:val="19"/>
                <w:szCs w:val="19"/>
              </w:rPr>
              <w:t xml:space="preserve">App mobile (predisposta lato server, non fornita); integrazioni con sistemi terzi; sviluppi su specifica del Cliente</w:t>
            </w:r>
          </w:p>
        </w:tc>
      </w:tr>
    </w:tbl>
    <w:p>
      <w:pPr>
        <w:pStyle w:val="Heading1"/>
        <w:spacing w:after="140" w:before="320"/>
      </w:pPr>
      <w:r>
        <w:t xml:space="preserve">Allegato B · Misure di sicurezza</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506"/>
        <w:gridCol w:w="7132"/>
      </w:tblGrid>
      <w:tr>
        <w:trPr>
          <w:tblHeader/>
        </w:trPr>
        <w:tc>
          <w:tcPr>
            <w:tcW w:type="dxa" w:w="2506"/>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Ambito</w:t>
            </w:r>
          </w:p>
        </w:tc>
        <w:tc>
          <w:tcPr>
            <w:tcW w:type="dxa" w:w="7132"/>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Misura in esercizio</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Cifratura dei dati identificativi</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Cifratura end-to-end nel browser (libsodium: X25519, XChaCha20-Poly1305); chiavi personali protette da passphrase (Argon2id); chiave della società consegnata solo ai custodi del Cliente; il Fornitore non può decifrare</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Trasporto</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TLS 1.2+ con certificati Let's Encrypt rinnovati automaticamente; HSTS; redirect HTTPS</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Autenticazione</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Keycloak: password di almeno 12 caratteri con storico, blocco temporaneo dopo 8 tentativi, MFA TOTP, sessione 30 minuti di inattività / 10 ore; console di amministrazione protetta da MFA</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Autorizzazione</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Permessi granulari per ruolo, restrizione per squadra, permessi personalizzati; isolamento per società anche a livello di database (row level security); abilitazioni nominative e revocabili ai dati identificativi</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Tracciabilità</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Registro audit append-only di accessi ai dati identificativi, modifiche, sblocchi, export, gestione chiavi e utenti</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Applicazione</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Content Security Policy e header di sicurezza; nessun dato personale negli indirizzi web e nei log; limitazione delle richieste; dipendenze verificate a ogni rilascio (pip-audit, npm audit); test automatici della matrice dei permessi</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Server</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Ubuntu 24.04 presso Aruba Cloud (Italia); accesso amministrativo solo con chiave SSH; firewall (solo 22, 80, 443); fail2ban; aggiornamenti di sicurezza automatici; rotazione dei log; nessuna porta di database esposta</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Segreti</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Conservati esclusivamente sul server in file protetto; mai nel codice sorgente; rotazione annuale</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Monitoraggio</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Controllo interno ogni ora (disco, servizi, API, accesso, certificato, backup) con avvisi email; controllo esterno di raggiungibilità ogni 5 minuti</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Verifiche periodiche</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Prova di ripristino annuale; prova di recupero chiavi annuale con il Cliente; aggiornamento mensile di dipendenze e immagini; revisione annuale delle misure con la DPIA del Cliente</w:t>
            </w:r>
          </w:p>
        </w:tc>
      </w:tr>
      <w:tr>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Sviluppo</w:t>
            </w:r>
          </w:p>
        </w:tc>
        <w:tc>
          <w:tcPr>
            <w:tcW w:type="dxa" w:w="7132"/>
            <w:tcMar>
              <w:top w:type="dxa" w:w="60"/>
              <w:left w:type="dxa" w:w="90"/>
              <w:bottom w:type="dxa" w:w="60"/>
              <w:right w:type="dxa" w:w="90"/>
            </w:tcMar>
          </w:tcPr>
          <w:p>
            <w:pPr>
              <w:spacing w:after="40"/>
            </w:pPr>
            <w:r>
              <w:rPr>
                <w:rFonts w:ascii="Calibri" w:cs="Calibri" w:eastAsia="Calibri" w:hAnsi="Calibri"/>
                <w:sz w:val="19"/>
                <w:szCs w:val="19"/>
              </w:rPr>
              <w:t xml:space="preserve">Codice sotto controllo di versione; integrazione continua con test automatici (oltre 150) e verifiche di sicurezza prima di ogni rilascio; rilasci tracciati</w:t>
            </w:r>
          </w:p>
        </w:tc>
      </w:tr>
    </w:tbl>
    <w:p>
      <w:pPr>
        <w:pStyle w:val="Heading1"/>
        <w:spacing w:after="140" w:before="320"/>
      </w:pPr>
      <w:r>
        <w:t xml:space="preserve">Allegato C · Copie di sicurezza e continuità</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891"/>
        <w:gridCol w:w="6747"/>
      </w:tblGrid>
      <w:tr>
        <w:trPr>
          <w:tblHeader/>
        </w:trPr>
        <w:tc>
          <w:tcPr>
            <w:tcW w:type="dxa" w:w="289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Elemento</w:t>
            </w:r>
          </w:p>
        </w:tc>
        <w:tc>
          <w:tcPr>
            <w:tcW w:type="dxa" w:w="6747"/>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Valore</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Oggetto</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Copia completa del database (dati del portale e del servizio di identità). I file rigenerabili (PDF, export) non sono inclusi</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Frequenza</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Ogni notte alle 02:30</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Cifratura</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AES-256 con passphrase detenuta dal Fornitore e consegnata al Cliente per custodia</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Conservazione</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30 giorni sul server; 90 giorni sulla copia esterna</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Copia esterna</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Backblaze B2, data center nell'Unione Europea (regione eu-central), fornitore distinto dal server, bucket privato con cifratura lato server aggiuntiva</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Controlli</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Verifica automatica ogni ora della presenza del backup e della copia esterna; riepilogo settimanale al Cliente su richiesta</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Prova di ripristino</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Almeno annuale, in ambiente separato, con verifica dei conteggi; ultima eseguita il 12/09/2026 con esito positivo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RPO (perdita massima di dati)</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24 ore</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RTO (tempo massimo di ripristino)</w:t>
            </w:r>
          </w:p>
        </w:tc>
        <w:tc>
          <w:tcPr>
            <w:tcW w:type="dxa" w:w="6747"/>
            <w:tcMar>
              <w:top w:type="dxa" w:w="60"/>
              <w:left w:type="dxa" w:w="90"/>
              <w:bottom w:type="dxa" w:w="60"/>
              <w:right w:type="dxa" w:w="90"/>
            </w:tcMar>
          </w:tcPr>
          <w:p>
            <w:pPr>
              <w:spacing w:after="40"/>
            </w:pPr>
            <w:r>
              <w:rPr>
                <w:rFonts w:ascii="Calibri" w:cs="Calibri" w:eastAsia="Calibri" w:hAnsi="Calibri"/>
                <w:sz w:val="19"/>
                <w:szCs w:val="19"/>
              </w:rPr>
              <w:t xml:space="preserve">8 ore lavorative dalla presa in carico, su server nuovo in caso di perdita totale</w:t>
            </w:r>
          </w:p>
        </w:tc>
      </w:tr>
    </w:tbl>
    <w:p>
      <w:pPr>
        <w:pStyle w:val="Heading1"/>
        <w:spacing w:after="140" w:before="320"/>
      </w:pPr>
      <w:r>
        <w:t xml:space="preserve">Allegato D · Livelli di servizio e assistenza</w:t>
      </w:r>
    </w:p>
    <w:p>
      <w:pPr>
        <w:pStyle w:val="Heading3"/>
        <w:spacing w:after="80" w:before="160"/>
      </w:pPr>
      <w:r>
        <w:t xml:space="preserve">Disponibilità</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277"/>
        <w:gridCol w:w="2506"/>
        <w:gridCol w:w="3855"/>
      </w:tblGrid>
      <w:tr>
        <w:trPr>
          <w:tblHeader/>
        </w:trPr>
        <w:tc>
          <w:tcPr>
            <w:tcW w:type="dxa" w:w="3277"/>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Indicatore</w:t>
            </w:r>
          </w:p>
        </w:tc>
        <w:tc>
          <w:tcPr>
            <w:tcW w:type="dxa" w:w="2506"/>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Obiettivo</w:t>
            </w:r>
          </w:p>
        </w:tc>
        <w:tc>
          <w:tcPr>
            <w:tcW w:type="dxa" w:w="3855"/>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Note</w:t>
            </w:r>
          </w:p>
        </w:tc>
      </w:tr>
      <w:tr>
        <w:tc>
          <w:tcPr>
            <w:tcW w:type="dxa" w:w="3277"/>
            <w:tcMar>
              <w:top w:type="dxa" w:w="60"/>
              <w:left w:type="dxa" w:w="90"/>
              <w:bottom w:type="dxa" w:w="60"/>
              <w:right w:type="dxa" w:w="90"/>
            </w:tcMar>
          </w:tcPr>
          <w:p>
            <w:pPr>
              <w:spacing w:after="40"/>
            </w:pPr>
            <w:r>
              <w:rPr>
                <w:rFonts w:ascii="Calibri" w:cs="Calibri" w:eastAsia="Calibri" w:hAnsi="Calibri"/>
                <w:sz w:val="19"/>
                <w:szCs w:val="19"/>
              </w:rPr>
              <w:t xml:space="preserve">Disponibilità mensile del portale e del servizio di accesso</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99,0%</w:t>
            </w:r>
          </w:p>
        </w:tc>
        <w:tc>
          <w:tcPr>
            <w:tcW w:type="dxa" w:w="3855"/>
            <w:tcMar>
              <w:top w:type="dxa" w:w="60"/>
              <w:left w:type="dxa" w:w="90"/>
              <w:bottom w:type="dxa" w:w="60"/>
              <w:right w:type="dxa" w:w="90"/>
            </w:tcMar>
          </w:tcPr>
          <w:p>
            <w:pPr>
              <w:spacing w:after="40"/>
            </w:pPr>
            <w:r>
              <w:rPr>
                <w:rFonts w:ascii="Calibri" w:cs="Calibri" w:eastAsia="Calibri" w:hAnsi="Calibri"/>
                <w:sz w:val="19"/>
                <w:szCs w:val="19"/>
              </w:rPr>
              <w:t xml:space="preserve">misurata dal controllo esterno; escluse manutenzioni programmate e forza maggiore (circa 7 ore di indisponibilità al mese ammesse)</w:t>
            </w:r>
          </w:p>
        </w:tc>
      </w:tr>
      <w:tr>
        <w:tc>
          <w:tcPr>
            <w:tcW w:type="dxa" w:w="3277"/>
            <w:tcMar>
              <w:top w:type="dxa" w:w="60"/>
              <w:left w:type="dxa" w:w="90"/>
              <w:bottom w:type="dxa" w:w="60"/>
              <w:right w:type="dxa" w:w="90"/>
            </w:tcMar>
          </w:tcPr>
          <w:p>
            <w:pPr>
              <w:spacing w:after="40"/>
            </w:pPr>
            <w:r>
              <w:rPr>
                <w:rFonts w:ascii="Calibri" w:cs="Calibri" w:eastAsia="Calibri" w:hAnsi="Calibri"/>
                <w:sz w:val="19"/>
                <w:szCs w:val="19"/>
              </w:rPr>
              <w:t xml:space="preserve">Manutenzioni programmate</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massimo 4 ore al mese, in orario 22:00-06:00, preavviso 48 ore</w:t>
            </w:r>
          </w:p>
        </w:tc>
        <w:tc>
          <w:tcPr>
            <w:tcW w:type="dxa" w:w="3855"/>
            <w:tcMar>
              <w:top w:type="dxa" w:w="60"/>
              <w:left w:type="dxa" w:w="90"/>
              <w:bottom w:type="dxa" w:w="60"/>
              <w:right w:type="dxa" w:w="90"/>
            </w:tcMar>
          </w:tcPr>
          <w:p>
            <w:pPr>
              <w:spacing w:after="40"/>
            </w:pPr>
            <w:r>
              <w:rPr>
                <w:rFonts w:ascii="Calibri" w:cs="Calibri" w:eastAsia="Calibri" w:hAnsi="Calibri"/>
                <w:sz w:val="19"/>
                <w:szCs w:val="19"/>
              </w:rPr>
              <w:t xml:space="preserve">durante la stagione invernale evitate nei fine settimana</w:t>
            </w:r>
          </w:p>
        </w:tc>
      </w:tr>
      <w:tr>
        <w:tc>
          <w:tcPr>
            <w:tcW w:type="dxa" w:w="3277"/>
            <w:tcMar>
              <w:top w:type="dxa" w:w="60"/>
              <w:left w:type="dxa" w:w="90"/>
              <w:bottom w:type="dxa" w:w="60"/>
              <w:right w:type="dxa" w:w="90"/>
            </w:tcMar>
          </w:tcPr>
          <w:p>
            <w:pPr>
              <w:spacing w:after="40"/>
            </w:pPr>
            <w:r>
              <w:rPr>
                <w:rFonts w:ascii="Calibri" w:cs="Calibri" w:eastAsia="Calibri" w:hAnsi="Calibri"/>
                <w:sz w:val="19"/>
                <w:szCs w:val="19"/>
              </w:rPr>
              <w:t xml:space="preserve">Crediti per mancato rispetto</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5% del canone semestrale per ogni punto percentuale sotto il 99,0%, fino al 20%</w:t>
            </w:r>
          </w:p>
        </w:tc>
        <w:tc>
          <w:tcPr>
            <w:tcW w:type="dxa" w:w="3855"/>
            <w:tcMar>
              <w:top w:type="dxa" w:w="60"/>
              <w:left w:type="dxa" w:w="90"/>
              <w:bottom w:type="dxa" w:w="60"/>
              <w:right w:type="dxa" w:w="90"/>
            </w:tcMar>
          </w:tcPr>
          <w:p>
            <w:pPr>
              <w:spacing w:after="40"/>
            </w:pPr>
            <w:r>
              <w:rPr>
                <w:rFonts w:ascii="Calibri" w:cs="Calibri" w:eastAsia="Calibri" w:hAnsi="Calibri"/>
                <w:sz w:val="19"/>
                <w:szCs w:val="19"/>
              </w:rPr>
              <w:t xml:space="preserve">riconosciuti sulla fattura successiva su richiesta del Cliente entro 30 giorni</w:t>
            </w:r>
          </w:p>
        </w:tc>
      </w:tr>
    </w:tbl>
    <w:p>
      <w:pPr>
        <w:pStyle w:val="Heading3"/>
        <w:spacing w:after="80" w:before="160"/>
      </w:pPr>
      <w:r>
        <w:t xml:space="preserve">Assistenza</w:t>
      </w:r>
    </w:p>
    <w:p>
      <w:pPr>
        <w:spacing w:after="120" w:before="0"/>
      </w:pPr>
      <w:r>
        <w:rPr>
          <w:rFonts w:ascii="Calibri" w:cs="Calibri" w:eastAsia="Calibri" w:hAnsi="Calibri"/>
          <w:sz w:val="22"/>
          <w:szCs w:val="22"/>
        </w:rPr>
        <w:t xml:space="preserve">Orario: giorni lavorativi dal lunedì al venerdì, 9:00-13:00 e 14:00-18:00, esclusi i festivi nazionali. Canali: email [assistenza@...], telefono [numero]. Le richieste fuori orario sono prese in carico all'apertura successiva.</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542"/>
        <w:gridCol w:w="4241"/>
        <w:gridCol w:w="1735"/>
        <w:gridCol w:w="2120"/>
      </w:tblGrid>
      <w:tr>
        <w:trPr>
          <w:tblHeader/>
        </w:trPr>
        <w:tc>
          <w:tcPr>
            <w:tcW w:type="dxa" w:w="1542"/>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Gravità</w:t>
            </w:r>
          </w:p>
        </w:tc>
        <w:tc>
          <w:tcPr>
            <w:tcW w:type="dxa" w:w="424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Descrizione</w:t>
            </w:r>
          </w:p>
        </w:tc>
        <w:tc>
          <w:tcPr>
            <w:tcW w:type="dxa" w:w="1735"/>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Presa in carico</w:t>
            </w:r>
          </w:p>
        </w:tc>
        <w:tc>
          <w:tcPr>
            <w:tcW w:type="dxa" w:w="2120"/>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Soluzione o aggiramento</w:t>
            </w:r>
          </w:p>
        </w:tc>
      </w:tr>
      <w:tr>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Bloccante</w:t>
            </w:r>
          </w:p>
        </w:tc>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Portale o accesso non disponibili per tutti gli utenti; perdita di dati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2 ore lavorative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8 ore lavorative</w:t>
            </w:r>
          </w:p>
        </w:tc>
      </w:tr>
      <w:tr>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Grave</w:t>
            </w:r>
          </w:p>
        </w:tc>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Funzione essenziale non utilizzabile (registrazione eventi, PDF, dati identificativi) senza alternativa</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4 ore lavorative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2 giorni lavorativi</w:t>
            </w:r>
          </w:p>
        </w:tc>
      </w:tr>
      <w:tr>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Normale</w:t>
            </w:r>
          </w:p>
        </w:tc>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Malfunzionamento con alternativa disponibile; errori di calcolo o visualizzazione</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1 giorno lavorativo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5 giorni lavorativi</w:t>
            </w:r>
          </w:p>
        </w:tc>
      </w:tr>
      <w:tr>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Minore</w:t>
            </w:r>
          </w:p>
        </w:tc>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Richieste di chiarimento, piccole migliorie, testi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2 giorni lavorativi</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rilascio successivo</w:t>
            </w:r>
          </w:p>
        </w:tc>
      </w:tr>
    </w:tbl>
    <w:p>
      <w:pPr>
        <w:spacing w:after="120" w:before="0"/>
      </w:pPr>
      <w:r>
        <w:rPr>
          <w:rFonts w:ascii="Calibri" w:cs="Calibri" w:eastAsia="Calibri" w:hAnsi="Calibri"/>
          <w:sz w:val="22"/>
          <w:szCs w:val="22"/>
        </w:rPr>
        <w:t xml:space="preserve">Sono compresi nell'assistenza: supporto agli amministratori del Cliente, sblocco di utenti (MFA persa), caricamento di elenchi di piste e impianti forniti in formato tabellare, rigenerazione della guida operatori a fronte di modifiche, supporto al riscontro delle richieste degli interessati.</w:t>
      </w:r>
    </w:p>
    <w:p>
      <w:pPr>
        <w:pStyle w:val="Heading1"/>
        <w:spacing w:after="140" w:before="320"/>
      </w:pPr>
      <w:r>
        <w:t xml:space="preserve">Allegato E · Nomina a responsabile del trattamento (art. 28 GDPR)</w:t>
      </w:r>
    </w:p>
    <w:p>
      <w:pPr>
        <w:spacing w:after="120" w:before="0"/>
      </w:pPr>
      <w:r>
        <w:rPr>
          <w:rFonts w:ascii="Calibri" w:cs="Calibri" w:eastAsia="Calibri" w:hAnsi="Calibri"/>
          <w:sz w:val="22"/>
          <w:szCs w:val="22"/>
        </w:rPr>
        <w:t xml:space="preserve">Il Cliente, titolare del trattamento, nomina il Fornitore responsabile del trattamento per i dati personali registrati nel Servizio. Il Fornitore:</w:t>
      </w:r>
    </w:p>
    <w:p>
      <w:pPr>
        <w:pStyle w:val="ListParagraph"/>
        <w:numPr>
          <w:ilvl w:val="0"/>
          <w:numId w:val="4"/>
        </w:numPr>
        <w:spacing w:after="60"/>
      </w:pPr>
      <w:r>
        <w:rPr>
          <w:rFonts w:ascii="Calibri" w:cs="Calibri" w:eastAsia="Calibri" w:hAnsi="Calibri"/>
          <w:sz w:val="22"/>
          <w:szCs w:val="22"/>
        </w:rPr>
        <w:t xml:space="preserve">tratta i dati solo su istruzione documentata del Cliente e per le finalità del contratto (erogazione, manutenzione, assistenza, copie di sicurezza), senza accedere ai dati identificativi delle persone soccorse, che sono cifrati con chiavi del Cliente;</w:t>
      </w:r>
    </w:p>
    <w:p>
      <w:pPr>
        <w:pStyle w:val="ListParagraph"/>
        <w:numPr>
          <w:ilvl w:val="0"/>
          <w:numId w:val="4"/>
        </w:numPr>
        <w:spacing w:after="60"/>
      </w:pPr>
      <w:r>
        <w:rPr>
          <w:rFonts w:ascii="Calibri" w:cs="Calibri" w:eastAsia="Calibri" w:hAnsi="Calibri"/>
          <w:sz w:val="22"/>
          <w:szCs w:val="22"/>
        </w:rPr>
        <w:t xml:space="preserve">garantisce che le persone autorizzate al trattamento siano vincolate alla riservatezza e formate;</w:t>
      </w:r>
    </w:p>
    <w:p>
      <w:pPr>
        <w:pStyle w:val="ListParagraph"/>
        <w:numPr>
          <w:ilvl w:val="0"/>
          <w:numId w:val="4"/>
        </w:numPr>
        <w:spacing w:after="60"/>
      </w:pPr>
      <w:r>
        <w:rPr>
          <w:rFonts w:ascii="Calibri" w:cs="Calibri" w:eastAsia="Calibri" w:hAnsi="Calibri"/>
          <w:sz w:val="22"/>
          <w:szCs w:val="22"/>
        </w:rPr>
        <w:t xml:space="preserve">adotta le misure di sicurezza dell'Allegato B e ne dà evidenza su richiesta;</w:t>
      </w:r>
    </w:p>
    <w:p>
      <w:pPr>
        <w:pStyle w:val="ListParagraph"/>
        <w:numPr>
          <w:ilvl w:val="0"/>
          <w:numId w:val="4"/>
        </w:numPr>
        <w:spacing w:after="60"/>
      </w:pPr>
      <w:r>
        <w:rPr>
          <w:rFonts w:ascii="Calibri" w:cs="Calibri" w:eastAsia="Calibri" w:hAnsi="Calibri"/>
          <w:sz w:val="22"/>
          <w:szCs w:val="22"/>
        </w:rPr>
        <w:t xml:space="preserve">ricorre ai seguenti sub-responsabili, autorizzati dal Cliente: Aruba S.p.A. (server, Italia) e Backblaze Inc. (copie di sicurezza cifrate, data center nell'Unione Europea; sede legale negli Stati Uniti, con le garanzie di cui all'art. 46 GDPR o al Data Privacy Framework da verificare a cura del Cliente); informa il Cliente di ogni cambiamento con 30 giorni di preavviso, consentendo l'opposizione;</w:t>
      </w:r>
    </w:p>
    <w:p>
      <w:pPr>
        <w:pStyle w:val="ListParagraph"/>
        <w:numPr>
          <w:ilvl w:val="0"/>
          <w:numId w:val="4"/>
        </w:numPr>
        <w:spacing w:after="60"/>
      </w:pPr>
      <w:r>
        <w:rPr>
          <w:rFonts w:ascii="Calibri" w:cs="Calibri" w:eastAsia="Calibri" w:hAnsi="Calibri"/>
          <w:sz w:val="22"/>
          <w:szCs w:val="22"/>
        </w:rPr>
        <w:t xml:space="preserve">assiste il Cliente nel riscontro alle richieste degli interessati, nella valutazione d'impatto e negli adempimenti in caso di violazione, che comunica entro 24 ore dalla scoperta;</w:t>
      </w:r>
    </w:p>
    <w:p>
      <w:pPr>
        <w:pStyle w:val="ListParagraph"/>
        <w:numPr>
          <w:ilvl w:val="0"/>
          <w:numId w:val="4"/>
        </w:numPr>
        <w:spacing w:after="60"/>
      </w:pPr>
      <w:r>
        <w:rPr>
          <w:rFonts w:ascii="Calibri" w:cs="Calibri" w:eastAsia="Calibri" w:hAnsi="Calibri"/>
          <w:sz w:val="22"/>
          <w:szCs w:val="22"/>
        </w:rPr>
        <w:t xml:space="preserve">alla cessazione restituisce i dati secondo l'Art. 9 e cancella le copie residue, attestandolo per iscritto;</w:t>
      </w:r>
    </w:p>
    <w:p>
      <w:pPr>
        <w:pStyle w:val="ListParagraph"/>
        <w:numPr>
          <w:ilvl w:val="0"/>
          <w:numId w:val="4"/>
        </w:numPr>
        <w:spacing w:after="60"/>
      </w:pPr>
      <w:r>
        <w:rPr>
          <w:rFonts w:ascii="Calibri" w:cs="Calibri" w:eastAsia="Calibri" w:hAnsi="Calibri"/>
          <w:sz w:val="22"/>
          <w:szCs w:val="22"/>
        </w:rPr>
        <w:t xml:space="preserve">mette a disposizione le informazioni necessarie a dimostrare il rispetto degli obblighi e consente verifiche del Cliente, con preavviso di 15 giorni, nel rispetto della riservatezza degli altri clienti;</w:t>
      </w:r>
    </w:p>
    <w:p>
      <w:pPr>
        <w:pStyle w:val="ListParagraph"/>
        <w:numPr>
          <w:ilvl w:val="0"/>
          <w:numId w:val="4"/>
        </w:numPr>
        <w:spacing w:after="60"/>
      </w:pPr>
      <w:r>
        <w:rPr>
          <w:rFonts w:ascii="Calibri" w:cs="Calibri" w:eastAsia="Calibri" w:hAnsi="Calibri"/>
          <w:sz w:val="22"/>
          <w:szCs w:val="22"/>
        </w:rPr>
        <w:t xml:space="preserve">non trasferisce dati fuori dall'Unione Europea salvo quanto indicato al punto 4.</w:t>
      </w:r>
    </w:p>
    <w:p>
      <w:pPr>
        <w:spacing w:after="120" w:before="0"/>
      </w:pPr>
      <w:r>
        <w:rPr>
          <w:rFonts w:ascii="Calibri" w:cs="Calibri" w:eastAsia="Calibri" w:hAnsi="Calibri"/>
          <w:sz w:val="22"/>
          <w:szCs w:val="22"/>
        </w:rPr>
        <w:t xml:space="preserve">Categorie di dati e interessati, finalità e durata: quelle descritte nella DPIA e nell'informativa del Cliente (persone soccorse, testimoni, operatori del Cliente; dati identificativi cifrati, dati dell'incidente, dati sanitari di primo soccorso, dati degli utenti; conservazione impostata dal Cliente, 10 anni).</w:t>
      </w:r>
    </w:p>
    <w:p>
      <w:pPr>
        <w:pStyle w:val="Heading1"/>
        <w:spacing w:after="140" w:before="320"/>
      </w:pPr>
      <w:r>
        <w:t xml:space="preserve">Allegato F · Corrispettivi</w:t>
      </w:r>
    </w:p>
    <w:p>
      <w:pPr>
        <w:spacing w:after="120"/>
      </w:pPr>
      <w:r>
        <w:rPr>
          <w:rFonts w:ascii="Calibri" w:cs="Calibri" w:eastAsia="Calibri" w:hAnsi="Calibri"/>
          <w:i/>
          <w:iCs/>
          <w:color w:val="6B7280"/>
          <w:sz w:val="18"/>
          <w:szCs w:val="18"/>
        </w:rPr>
        <w:t xml:space="preserve">Proposta economica: importi al netto di IVA, da confermare.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241"/>
        <w:gridCol w:w="2506"/>
        <w:gridCol w:w="2891"/>
      </w:tblGrid>
      <w:tr>
        <w:trPr>
          <w:tblHeader/>
        </w:trPr>
        <w:tc>
          <w:tcPr>
            <w:tcW w:type="dxa" w:w="424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Voce</w:t>
            </w:r>
          </w:p>
        </w:tc>
        <w:tc>
          <w:tcPr>
            <w:tcW w:type="dxa" w:w="2506"/>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Importo</w:t>
            </w:r>
          </w:p>
        </w:tc>
        <w:tc>
          <w:tcPr>
            <w:tcW w:type="dxa" w:w="289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Note</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Canone semestrale del Servizio</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€ 1.950,00 (€ 3.900,00/anno)</w:t>
            </w:r>
          </w:p>
        </w:tc>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anticipato; comprende tutto quanto elencato sotto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Attivazione una tantum (server, dominio, configurazione, caricamento dati iniziali, guida, bozze privacy)</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€ 1.500,00</w:t>
            </w:r>
          </w:p>
        </w:tc>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[già eseguita: da fatturare alla firma oppure da considerare compresa nel primo canone]</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Sviluppi su specifica, integrazioni, app mobile</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€ 480,00 per giornata</w:t>
            </w:r>
          </w:p>
        </w:tc>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su preventivo scritto e ordine del Cliente</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Assistenza fuori orario o in loco</w:t>
            </w:r>
          </w:p>
        </w:tc>
        <w:tc>
          <w:tcPr>
            <w:tcW w:type="dxa" w:w="2506"/>
            <w:tcMar>
              <w:top w:type="dxa" w:w="60"/>
              <w:left w:type="dxa" w:w="90"/>
              <w:bottom w:type="dxa" w:w="60"/>
              <w:right w:type="dxa" w:w="90"/>
            </w:tcMar>
          </w:tcPr>
          <w:p>
            <w:pPr>
              <w:spacing w:after="40"/>
            </w:pPr>
            <w:r>
              <w:rPr>
                <w:rFonts w:ascii="Calibri" w:cs="Calibri" w:eastAsia="Calibri" w:hAnsi="Calibri"/>
                <w:sz w:val="19"/>
                <w:szCs w:val="19"/>
              </w:rPr>
              <w:t xml:space="preserve">€ 80,00 per ora + spese</w:t>
            </w:r>
          </w:p>
        </w:tc>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su richiesta, non compresa</w:t>
            </w:r>
          </w:p>
        </w:tc>
      </w:tr>
    </w:tbl>
    <w:p>
      <w:pPr>
        <w:pStyle w:val="Heading3"/>
        <w:spacing w:after="80" w:before="160"/>
      </w:pPr>
      <w:r>
        <w:t xml:space="preserve">Compreso nel canone</w:t>
      </w:r>
    </w:p>
    <w:p>
      <w:pPr>
        <w:pStyle w:val="ListParagraph"/>
        <w:numPr>
          <w:ilvl w:val="0"/>
          <w:numId w:val="2"/>
        </w:numPr>
        <w:spacing w:after="60"/>
      </w:pPr>
      <w:r>
        <w:rPr>
          <w:rFonts w:ascii="Calibri" w:cs="Calibri" w:eastAsia="Calibri" w:hAnsi="Calibri"/>
          <w:sz w:val="22"/>
          <w:szCs w:val="22"/>
        </w:rPr>
        <w:t xml:space="preserve">Server presso Aruba Cloud, dominio safecivetta.it e casella di posta di servizio, certificati, copia esterna dei backup, controllo esterno di raggiungibilità, servizio cartografico entro i limiti gratuiti del fornitore.</w:t>
      </w:r>
    </w:p>
    <w:p>
      <w:pPr>
        <w:pStyle w:val="ListParagraph"/>
        <w:numPr>
          <w:ilvl w:val="0"/>
          <w:numId w:val="2"/>
        </w:numPr>
        <w:spacing w:after="60"/>
      </w:pPr>
      <w:r>
        <w:rPr>
          <w:rFonts w:ascii="Calibri" w:cs="Calibri" w:eastAsia="Calibri" w:hAnsi="Calibri"/>
          <w:sz w:val="22"/>
          <w:szCs w:val="22"/>
        </w:rPr>
        <w:t xml:space="preserve">Manutenzione correttiva e di sicurezza, aggiornamenti mensili, monitoraggio e gestione degli avvisi.</w:t>
      </w:r>
    </w:p>
    <w:p>
      <w:pPr>
        <w:pStyle w:val="ListParagraph"/>
        <w:numPr>
          <w:ilvl w:val="0"/>
          <w:numId w:val="2"/>
        </w:numPr>
        <w:spacing w:after="60"/>
      </w:pPr>
      <w:r>
        <w:rPr>
          <w:rFonts w:ascii="Calibri" w:cs="Calibri" w:eastAsia="Calibri" w:hAnsi="Calibri"/>
          <w:sz w:val="22"/>
          <w:szCs w:val="22"/>
        </w:rPr>
        <w:t xml:space="preserve">Assistenza in orario d'ufficio secondo l'Allegato D; supporto agli amministratori; caricamento di elenchi di piste e impianti; rigenerazione della documentazione.</w:t>
      </w:r>
    </w:p>
    <w:p>
      <w:pPr>
        <w:pStyle w:val="ListParagraph"/>
        <w:numPr>
          <w:ilvl w:val="0"/>
          <w:numId w:val="2"/>
        </w:numPr>
        <w:spacing w:after="60"/>
      </w:pPr>
      <w:r>
        <w:rPr>
          <w:rFonts w:ascii="Calibri" w:cs="Calibri" w:eastAsia="Calibri" w:hAnsi="Calibri"/>
          <w:sz w:val="22"/>
          <w:szCs w:val="22"/>
        </w:rPr>
        <w:t xml:space="preserve">Prova annuale di ripristino e supporto alla prova annuale di recupero delle chiavi; aggiornamento annuale dei confini ISTAT.</w:t>
      </w:r>
    </w:p>
    <w:p>
      <w:pPr>
        <w:pStyle w:val="ListParagraph"/>
        <w:numPr>
          <w:ilvl w:val="0"/>
          <w:numId w:val="2"/>
        </w:numPr>
        <w:spacing w:after="60"/>
      </w:pPr>
      <w:r>
        <w:rPr>
          <w:rFonts w:ascii="Calibri" w:cs="Calibri" w:eastAsia="Calibri" w:hAnsi="Calibri"/>
          <w:sz w:val="22"/>
          <w:szCs w:val="22"/>
        </w:rPr>
        <w:t xml:space="preserve">Utenti e squadre senza limite di numero; volume di eventi fino a [10.000] all'anno e spazio di archiviazione fino a [50 GB]; oltre tali soglie le parti concordano l'adeguamento dell'infrastruttura.</w:t>
      </w:r>
    </w:p>
    <w:p>
      <w:pPr>
        <w:pStyle w:val="ListParagraph"/>
        <w:numPr>
          <w:ilvl w:val="0"/>
          <w:numId w:val="2"/>
        </w:numPr>
        <w:spacing w:after="60"/>
      </w:pPr>
      <w:r>
        <w:rPr>
          <w:rFonts w:ascii="Calibri" w:cs="Calibri" w:eastAsia="Calibri" w:hAnsi="Calibri"/>
          <w:sz w:val="22"/>
          <w:szCs w:val="22"/>
        </w:rPr>
        <w:t xml:space="preserve">Evoluzioni rilasciate dal Fornitore a tutti i clienti del Servizio.</w:t>
      </w:r>
    </w:p>
    <w:p>
      <w:pPr>
        <w:pStyle w:val="Heading3"/>
        <w:spacing w:after="80" w:before="160"/>
      </w:pPr>
      <w:r>
        <w:t xml:space="preserve">Escluso dal canone</w:t>
      </w:r>
    </w:p>
    <w:p>
      <w:pPr>
        <w:pStyle w:val="ListParagraph"/>
        <w:numPr>
          <w:ilvl w:val="0"/>
          <w:numId w:val="2"/>
        </w:numPr>
        <w:spacing w:after="60"/>
      </w:pPr>
      <w:r>
        <w:rPr>
          <w:rFonts w:ascii="Calibri" w:cs="Calibri" w:eastAsia="Calibri" w:hAnsi="Calibri"/>
          <w:sz w:val="22"/>
          <w:szCs w:val="22"/>
        </w:rPr>
        <w:t xml:space="preserve">App mobile, integrazioni con sistemi terzi (biglietterie, 118, gestionali), personalizzazioni richieste dal Cliente, formazione in aula oltre la sessione iniziale di 2 ore, assistenza fuori orario o in loco, superamento dei limiti gratuiti del servizio cartografico, costi di eventuali servizi aggiuntivi richiesti dal Cliente (per esempio spazio di archiviazione oltre soglia).</w:t>
      </w:r>
    </w:p>
    <w:p>
      <w:pPr>
        <w:pStyle w:val="Heading3"/>
        <w:spacing w:after="80" w:before="160"/>
      </w:pPr>
      <w:r>
        <w:t xml:space="preserve">Motivazione dell'importo</w:t>
      </w:r>
    </w:p>
    <w:p>
      <w:pPr>
        <w:spacing w:after="120" w:before="0"/>
      </w:pPr>
      <w:r>
        <w:rPr>
          <w:rFonts w:ascii="Calibri" w:cs="Calibri" w:eastAsia="Calibri" w:hAnsi="Calibri"/>
          <w:sz w:val="22"/>
          <w:szCs w:val="22"/>
        </w:rPr>
        <w:t xml:space="preserve">I costi vivi dell'infrastruttura (server, dominio, backup) sono stimati in circa € 650 l'anno. Il resto del canone copre monitoraggio, aggiornamenti, assistenza, verifiche annuali e la disponibilità del Fornitore a intervenire nei tempi dell'Allegato D, stimati in 8-10 giornate/anno. L'importo è allineato a servizi analoghi per enti e società di dimensione simile e consente al Fornitore di garantire continuità e sicurezza per l'intera durata triennale.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Consorzio Impianti a Fune Civetta · portale safecivetta.it · pagina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Contratto di fornitura del servizio safecivetta.it · bozza v0.1 · 12/09/2026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C8102E"/>
      <w:sz w:val="32"/>
      <w:szCs w:val="32"/>
    </w:rPr>
  </w:style>
  <w:style w:type="paragraph" w:styleId="Heading2">
    <w:name w:val="Heading 2"/>
    <w:basedOn w:val="Normal"/>
    <w:next w:val="Normal"/>
    <w:qFormat/>
    <w:pPr>
      <w:outlineLvl w:val="1"/>
    </w:pPr>
    <w:rPr>
      <w:rFonts w:ascii="Calibri" w:cs="Calibri" w:eastAsia="Calibri" w:hAnsi="Calibri"/>
      <w:b/>
      <w:bCs/>
      <w:color w:val="1F2A37"/>
      <w:sz w:val="26"/>
      <w:szCs w:val="26"/>
    </w:rPr>
  </w:style>
  <w:style w:type="paragraph" w:styleId="Heading3">
    <w:name w:val="Heading 3"/>
    <w:basedOn w:val="Normal"/>
    <w:next w:val="Normal"/>
    <w:qFormat/>
    <w:pPr>
      <w:outlineLvl w:val="2"/>
    </w:pPr>
    <w:rPr>
      <w:rFonts w:ascii="Calibri" w:cs="Calibri" w:eastAsia="Calibri" w:hAnsi="Calibri"/>
      <w:b/>
      <w:bCs/>
      <w:color w:val="1F2A37"/>
      <w:sz w:val="23"/>
      <w:szCs w:val="23"/>
    </w:rPr>
  </w:style>
  <w:style w:type="paragraph" w:styleId="Title">
    <w:name w:val="Title"/>
    <w:basedOn w:val="Normal"/>
    <w:rPr>
      <w:rFonts w:ascii="Calibri" w:cs="Calibri" w:eastAsia="Calibri" w:hAnsi="Calibri"/>
      <w:b/>
      <w:bCs/>
      <w:color w:val="1F2A37"/>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Contratto di fornitura del servizio safecivetta.it</dc:title>
  <dc:creator>SAFE / safecivetta.it</dc:creator>
  <cp:lastModifiedBy>Un-named</cp:lastModifiedBy>
  <cp:revision>1</cp:revision>
  <dcterms:created xsi:type="dcterms:W3CDTF">2026-09-12T12:47:48.873Z</dcterms:created>
  <dcterms:modified xsi:type="dcterms:W3CDTF">2026-09-12T12:47:48.879Z</dcterms:modified>
</cp:coreProperties>
</file>

<file path=docProps/custom.xml><?xml version="1.0" encoding="utf-8"?>
<Properties xmlns="http://schemas.openxmlformats.org/officeDocument/2006/custom-properties" xmlns:vt="http://schemas.openxmlformats.org/officeDocument/2006/docPropsVTypes"/>
</file>