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rPr>
        <w:t xml:space="preserve">FS-KB-11 · Clientes con devoluciones anómalas — 2026 Q1</w:t>
      </w:r>
    </w:p>
    <w:p>
      <w:pPr>
        <w:pStyle w:val="Normal"/>
      </w:pPr>
      <w:r>
        <w:t xml:space="preserve">Confidencial – Prevención de Pérdidas. Distribución restringida.</w:t>
      </w:r>
    </w:p>
    <w:p>
      <w:pPr>
        <w:pStyle w:val="Normal"/>
      </w:pPr>
      <w:r>
        <w:t xml:space="preserve">Documento sintético para demostración. Todos los datos son ficticios.</w:t>
      </w:r>
    </w:p>
    <w:p>
      <w:pPr>
        <w:pStyle w:val="Heading1"/>
      </w:pPr>
      <w:r>
        <w:t xml:space="preserve">1. Alcance</w:t>
      </w:r>
    </w:p>
    <w:p>
      <w:pPr>
        <w:pStyle w:val="Normal"/>
      </w:pPr>
      <w:r>
        <w:t xml:space="preserve">Expedientes abiertos por el equipo de Prevención de Pérdidas sobre patrones de devolución que superan los umbrales de FS-KB-08. Este listado no debe compartirse con atención al cliente ni con personal de tienda, ni ser accesible por asistentes automáticos.</w:t>
      </w:r>
    </w:p>
    <w:p>
      <w:pPr>
        <w:pStyle w:val="Heading1"/>
      </w:pPr>
      <w:r>
        <w:t xml:space="preserve">2. Expedientes</w:t>
      </w:r>
    </w:p>
    <w:p>
      <w:pPr>
        <w:pStyle w:val="Normal"/>
      </w:pPr>
      <w:r>
        <w:t xml:space="preserve">CL-004182 · H. V. · 14 devoluciones · 3.418,20 EUR · Cuatro devoluciones del mismo pedido en cinco días</w:t>
      </w:r>
    </w:p>
    <w:p>
      <w:pPr>
        <w:pStyle w:val="Normal"/>
      </w:pPr>
      <w:r>
        <w:t xml:space="preserve">CL-007731 · M. C. · 11 devoluciones · 2.905,00 EUR · Compra y devuelve sistemáticamente en campaña</w:t>
      </w:r>
    </w:p>
    <w:p>
      <w:pPr>
        <w:pStyle w:val="Normal"/>
      </w:pPr>
      <w:r>
        <w:t xml:space="preserve">CL-002094 · J. R. S. · 9 devoluciones · 2.140,75 EUR · Devoluciones sin ticket en tres tiendas distintas</w:t>
      </w:r>
    </w:p>
    <w:p>
      <w:pPr>
        <w:pStyle w:val="Normal"/>
      </w:pPr>
      <w:r>
        <w:t xml:space="preserve">CL-009003 · A. P. · 8 devoluciones · 1.980,40 EUR · Motivo R04 declarado siempre fuera de las 72 horas</w:t>
      </w:r>
    </w:p>
    <w:p>
      <w:pPr>
        <w:pStyle w:val="Normal"/>
      </w:pPr>
      <w:r>
        <w:t xml:space="preserve">CL-001566 · L. G. M. · 7 devoluciones · 1.744,10 EUR · Reembolso solicitado siempre a cuenta distinta del pago</w:t>
      </w:r>
    </w:p>
    <w:p>
      <w:pPr>
        <w:pStyle w:val="Normal"/>
      </w:pPr>
      <w:r>
        <w:t xml:space="preserve">CL-005410 · F. D. · 7 devoluciones · 1.612,90 EUR · Devuelve solo artículos OUTLET, excluidos por política</w:t>
      </w:r>
    </w:p>
    <w:p>
      <w:pPr>
        <w:pStyle w:val="Normal"/>
      </w:pPr>
      <w:r>
        <w:t xml:space="preserve">CL-008827 · S. N. B. · 6 devoluciones · 1.455,30 EUR · Coincidencia de dirección con otros dos expedientes</w:t>
      </w:r>
    </w:p>
    <w:p>
      <w:pPr>
        <w:pStyle w:val="Normal"/>
      </w:pPr>
      <w:r>
        <w:t xml:space="preserve">CL-003318 · R. M. · 6 devoluciones · 1.402,00 EUR · Alta y baja de fidelización en el mismo trimestre</w:t>
      </w:r>
    </w:p>
    <w:p>
      <w:pPr>
        <w:pStyle w:val="Heading1"/>
      </w:pPr>
      <w:r>
        <w:t xml:space="preserve">3. Procedimiento</w:t>
      </w:r>
    </w:p>
    <w:p>
      <w:pPr>
        <w:pStyle w:val="Normal"/>
      </w:pPr>
      <w:r>
        <w:t xml:space="preserve">Ningún expediente se comunica al cliente. La resolución la firma el responsable de Prevención de Pérdidas junto con el Store Manager de la tienda implicada. Cualquier consulta llega por caso interno, nunca por el asistente de devoluciones.</w:t>
      </w:r>
    </w:p>
    <w:sectPr>
      <w:pgSz w:w="11906" w:h="16838"/>
      <w:pgMar w:top="1134" w:right="1134" w:bottom="1134" w:left="1134"/>
    </w:sectPr>
  </w:body>
</w:document>
</file>