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Política de devoluciones (omnichannel)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Política de devoluciones (omnichannel)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Operaciones + Atención al cliente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Dirección de Operaciones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15/01/2026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10/02/2026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>
              <w:t>10/08/2026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(no publicar a clientes)</w:t>
            </w:r>
          </w:p>
        </w:tc>
      </w:tr>
    </w:tbl>
    <w:p/>
    <w:p>
      <w:pPr>
        <w:pStyle w:val="Heading1"/>
      </w:pPr>
      <w:r>
        <w:t>1. Propósito y alcance</w:t>
      </w:r>
    </w:p>
    <w:p>
      <w:r>
        <w:t>Esta política define las condiciones, plazos y excepciones para devoluciones y reembolsos en FraSoHome, aplicable a los canales Tienda física y E-commerce.</w:t>
      </w:r>
    </w:p>
    <w:p>
      <w:pPr>
        <w:pStyle w:val="ListBullet"/>
      </w:pPr>
      <w:r>
        <w:t>Aplica a compras B2C realizadas en España.</w:t>
      </w:r>
    </w:p>
    <w:p>
      <w:pPr>
        <w:pStyle w:val="ListBullet"/>
      </w:pPr>
      <w:r>
        <w:t>Cubre devoluciones voluntarias (cambio de opinión) y devoluciones por incidencia (defecto, daño, falta de piezas).</w:t>
      </w:r>
    </w:p>
    <w:p>
      <w:pPr>
        <w:pStyle w:val="ListBullet"/>
      </w:pPr>
      <w:r>
        <w:t>No sustituye a obligaciones legales; en caso de conflicto, prevalece la normativa vigente.</w:t>
      </w:r>
    </w:p>
    <w:p/>
    <w:p/>
    <w:p>
      <w:pPr>
        <w:pStyle w:val="Heading1"/>
      </w:pPr>
      <w:r>
        <w:t>2. Definiciones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Definición operativa</w:t>
            </w:r>
          </w:p>
        </w:tc>
      </w:tr>
      <w:tr>
        <w:tc>
          <w:tcPr>
            <w:tcW w:type="dxa" w:w="4824"/>
          </w:tcPr>
          <w:p>
            <w:r>
              <w:t>Devolución voluntaria</w:t>
            </w:r>
          </w:p>
        </w:tc>
        <w:tc>
          <w:tcPr>
            <w:tcW w:type="dxa" w:w="4824"/>
          </w:tcPr>
          <w:p>
            <w:r>
              <w:t>El cliente decide devolver sin defecto (p. ej., no encaja en su espacio).</w:t>
            </w:r>
          </w:p>
        </w:tc>
      </w:tr>
      <w:tr>
        <w:tc>
          <w:tcPr>
            <w:tcW w:type="dxa" w:w="4824"/>
          </w:tcPr>
          <w:p>
            <w:r>
              <w:t>Devolución por incidencia</w:t>
            </w:r>
          </w:p>
        </w:tc>
        <w:tc>
          <w:tcPr>
            <w:tcW w:type="dxa" w:w="4824"/>
          </w:tcPr>
          <w:p>
            <w:r>
              <w:t>Devolución por defecto, daño en transporte, faltante o error de preparación.</w:t>
            </w:r>
          </w:p>
        </w:tc>
      </w:tr>
      <w:tr>
        <w:tc>
          <w:tcPr>
            <w:tcW w:type="dxa" w:w="4824"/>
          </w:tcPr>
          <w:p>
            <w:r>
              <w:t>Producto voluminoso</w:t>
            </w:r>
          </w:p>
        </w:tc>
        <w:tc>
          <w:tcPr>
            <w:tcW w:type="dxa" w:w="4824"/>
          </w:tcPr>
          <w:p>
            <w:r>
              <w:t>Producto con entrega programada o montaje (p. ej., sofás, armarios, camas).</w:t>
            </w:r>
          </w:p>
        </w:tc>
      </w:tr>
      <w:tr>
        <w:tc>
          <w:tcPr>
            <w:tcW w:type="dxa" w:w="4824"/>
          </w:tcPr>
          <w:p>
            <w:r>
              <w:t>Reembolso</w:t>
            </w:r>
          </w:p>
        </w:tc>
        <w:tc>
          <w:tcPr>
            <w:tcW w:type="dxa" w:w="4824"/>
          </w:tcPr>
          <w:p>
            <w:r>
              <w:t>Devolución del importe pagado al método de pago original, con reglas específicas en pagos mixtos.</w:t>
            </w:r>
          </w:p>
        </w:tc>
      </w:tr>
    </w:tbl>
    <w:p/>
    <w:p/>
    <w:p>
      <w:pPr>
        <w:pStyle w:val="Heading1"/>
      </w:pPr>
      <w:r>
        <w:t>3. Plazos estándar por canal</w:t>
      </w:r>
    </w:p>
    <w:p>
      <w:r>
        <w:t>Los plazos se cuentan desde la fecha de entrega (E-commerce) o la fecha de compra (Tienda).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Canal de compra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Plazo devolución voluntaria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216"/>
          </w:tcPr>
          <w:p>
            <w:r>
              <w:t>E-commerce</w:t>
            </w:r>
          </w:p>
        </w:tc>
        <w:tc>
          <w:tcPr>
            <w:tcW w:type="dxa" w:w="3216"/>
          </w:tcPr>
          <w:p>
            <w:r>
              <w:t>45 días naturales</w:t>
            </w:r>
          </w:p>
        </w:tc>
        <w:tc>
          <w:tcPr>
            <w:tcW w:type="dxa" w:w="3216"/>
          </w:tcPr>
          <w:p>
            <w:r>
              <w:t>Debe solicitarse por el portal de devoluciones o Atención al cliente.</w:t>
            </w:r>
          </w:p>
        </w:tc>
      </w:tr>
      <w:tr>
        <w:tc>
          <w:tcPr>
            <w:tcW w:type="dxa" w:w="3216"/>
          </w:tcPr>
          <w:p>
            <w:r>
              <w:t>Tienda física</w:t>
            </w:r>
          </w:p>
        </w:tc>
        <w:tc>
          <w:tcPr>
            <w:tcW w:type="dxa" w:w="3216"/>
          </w:tcPr>
          <w:p>
            <w:r>
              <w:t>30 días naturales</w:t>
            </w:r>
          </w:p>
        </w:tc>
        <w:tc>
          <w:tcPr>
            <w:tcW w:type="dxa" w:w="3216"/>
          </w:tcPr>
          <w:p>
            <w:r>
              <w:t>Requiere ticket o identificación por programa de fidelización.</w:t>
            </w:r>
          </w:p>
        </w:tc>
      </w:tr>
    </w:tbl>
    <w:p/>
    <w:p>
      <w:r>
        <w:t>Para devoluciones por incidencia, el plazo de reporte es de 72 horas desde la entrega/recogida (daños visibles) y 7 días para faltantes o defectos funcionales no visibles.</w:t>
      </w:r>
    </w:p>
    <w:p/>
    <w:p>
      <w:pPr>
        <w:pStyle w:val="Heading1"/>
      </w:pPr>
      <w:r>
        <w:t>4. Condiciones del producto</w:t>
      </w:r>
    </w:p>
    <w:p>
      <w:pPr>
        <w:pStyle w:val="ListBullet"/>
      </w:pPr>
      <w:r>
        <w:t>Producto en estado vendible: sin uso, sin daños, con accesorios y manuales.</w:t>
      </w:r>
    </w:p>
    <w:p>
      <w:pPr>
        <w:pStyle w:val="ListBullet"/>
      </w:pPr>
      <w:r>
        <w:t>En decoración/textil: con etiquetas y sin señales de uso.</w:t>
      </w:r>
    </w:p>
    <w:p>
      <w:pPr>
        <w:pStyle w:val="ListBullet"/>
      </w:pPr>
      <w:r>
        <w:t>En productos voluminosos: embalaje original cuando sea posible; si está montado, se evalúa caso a caso (ver excepciones).</w:t>
      </w:r>
    </w:p>
    <w:p/>
    <w:p>
      <w:r>
        <w:t>Si el producto no cumple condiciones, se puede aplicar una deducción por reacondicionamiento o rechazar la devolución (según evaluación).</w:t>
      </w:r>
    </w:p>
    <w:p/>
    <w:p>
      <w:pPr>
        <w:pStyle w:val="Heading1"/>
      </w:pPr>
      <w:r>
        <w:t>5. Excepciones (no admiten devolución voluntaria)</w:t>
      </w:r>
    </w:p>
    <w:p>
      <w:pPr>
        <w:pStyle w:val="ListBullet"/>
      </w:pPr>
      <w:r>
        <w:t>Productos a medida o personalizados (color/medida/tejido bajo pedido).</w:t>
      </w:r>
    </w:p>
    <w:p>
      <w:pPr>
        <w:pStyle w:val="ListBullet"/>
      </w:pPr>
      <w:r>
        <w:t>Artículos de liquidación identificados como 'OUTLET - venta final'.</w:t>
      </w:r>
    </w:p>
    <w:p>
      <w:pPr>
        <w:pStyle w:val="ListBullet"/>
      </w:pPr>
      <w:r>
        <w:t>Tarjetas regalo y servicios (transporte, montaje) ya prestados.</w:t>
      </w:r>
    </w:p>
    <w:p>
      <w:pPr>
        <w:pStyle w:val="ListBullet"/>
      </w:pPr>
      <w:r>
        <w:t>Productos higiénicos con precinto abierto (p. ej., protectores de colchón con sellado).</w:t>
      </w:r>
    </w:p>
    <w:p/>
    <w:p>
      <w:r>
        <w:t>Las devoluciones por incidencia sí aplican a estos productos si existe defecto o daño atribuible a FraSoHome o al transporte.</w:t>
      </w:r>
    </w:p>
    <w:p/>
    <w:p>
      <w:pPr>
        <w:pStyle w:val="Heading1"/>
      </w:pPr>
      <w:r>
        <w:t>6. Reembolsos y método de pago</w:t>
      </w:r>
    </w:p>
    <w:p>
      <w:r>
        <w:t>Regla general: el reembolso se realiza al método de pago original.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Regla de reembolso</w:t>
            </w:r>
          </w:p>
        </w:tc>
      </w:tr>
      <w:tr>
        <w:tc>
          <w:tcPr>
            <w:tcW w:type="dxa" w:w="4824"/>
          </w:tcPr>
          <w:p>
            <w:r>
              <w:t>Pago único (tarjeta)</w:t>
            </w:r>
          </w:p>
        </w:tc>
        <w:tc>
          <w:tcPr>
            <w:tcW w:type="dxa" w:w="4824"/>
          </w:tcPr>
          <w:p>
            <w:r>
              <w:t>Reembolso íntegro a la misma tarjeta.</w:t>
            </w:r>
          </w:p>
        </w:tc>
      </w:tr>
      <w:tr>
        <w:tc>
          <w:tcPr>
            <w:tcW w:type="dxa" w:w="4824"/>
          </w:tcPr>
          <w:p>
            <w:r>
              <w:t>Pago mixto (tarjeta + efectivo)</w:t>
            </w:r>
          </w:p>
        </w:tc>
        <w:tc>
          <w:tcPr>
            <w:tcW w:type="dxa" w:w="4824"/>
          </w:tcPr>
          <w:p>
            <w:r>
              <w:t>Primero se reembolsa a tarjeta hasta el importe pagado con tarjeta; el resto en efectivo.</w:t>
            </w:r>
          </w:p>
        </w:tc>
      </w:tr>
      <w:tr>
        <w:tc>
          <w:tcPr>
            <w:tcW w:type="dxa" w:w="4824"/>
          </w:tcPr>
          <w:p>
            <w:r>
              <w:t>Pago con tarjeta regalo</w:t>
            </w:r>
          </w:p>
        </w:tc>
        <w:tc>
          <w:tcPr>
            <w:tcW w:type="dxa" w:w="4824"/>
          </w:tcPr>
          <w:p>
            <w:r>
              <w:t>Reembolso a tarjeta regalo (nuevo código) salvo incidencia imputable a FraSoHome, que puede reembolsarse por transferencia (Finanzas).</w:t>
            </w:r>
          </w:p>
        </w:tc>
      </w:tr>
      <w:tr>
        <w:tc>
          <w:tcPr>
            <w:tcW w:type="dxa" w:w="4824"/>
          </w:tcPr>
          <w:p>
            <w:r>
              <w:t>Pago con financiación</w:t>
            </w:r>
          </w:p>
        </w:tc>
        <w:tc>
          <w:tcPr>
            <w:tcW w:type="dxa" w:w="4824"/>
          </w:tcPr>
          <w:p>
            <w:r>
              <w:t>Se anula o regulariza el contrato de financiación; no se entrega efectivo en tienda.</w:t>
            </w:r>
          </w:p>
        </w:tc>
      </w:tr>
    </w:tbl>
    <w:p/>
    <w:p>
      <w:r>
        <w:t>Plazo objetivo de reembolso E-commerce: 7-10 días laborables desde la recepción en almacén. En tienda: inmediato cuando sea posible o hasta 5 días laborables si requiere validación.</w:t>
      </w:r>
    </w:p>
    <w:p/>
    <w:p>
      <w:pPr>
        <w:pStyle w:val="Heading1"/>
      </w:pPr>
      <w:r>
        <w:t>7. Costes asociados</w:t>
      </w:r>
    </w:p>
    <w:p>
      <w:pPr>
        <w:pStyle w:val="ListBullet"/>
      </w:pPr>
      <w:r>
        <w:t>En devoluciones voluntarias de E-commerce, el coste de recogida puede repercutirse al cliente en productos voluminosos (según tarifa vigente).</w:t>
      </w:r>
    </w:p>
    <w:p>
      <w:pPr>
        <w:pStyle w:val="ListBullet"/>
      </w:pPr>
      <w:r>
        <w:t>Los gastos de envío iniciales no se reembolsan en devoluciones voluntarias, excepto error de preparación o incidencia.</w:t>
      </w:r>
    </w:p>
    <w:p>
      <w:pPr>
        <w:pStyle w:val="ListBullet"/>
      </w:pPr>
      <w:r>
        <w:t>En devoluciones por incidencia imputable a FraSoHome, FraSoHome asume recogida y reenvío.</w:t>
      </w:r>
    </w:p>
    <w:p/>
    <w:p/>
    <w:p>
      <w:pPr>
        <w:pStyle w:val="Heading1"/>
      </w:pPr>
      <w:r>
        <w:t>8. Flujo operativo - E-commerce</w:t>
      </w:r>
    </w:p>
    <w:p>
      <w:pPr>
        <w:pStyle w:val="ListBullet"/>
      </w:pPr>
      <w:r>
        <w:t>1) El cliente solicita devolución (portal o Atención al cliente) indicando número de pedido, artículos y motivo.</w:t>
      </w:r>
    </w:p>
    <w:p>
      <w:pPr>
        <w:pStyle w:val="ListBullet"/>
      </w:pPr>
      <w:r>
        <w:t>2) Se valida elegibilidad (plazo, excepciones, estado) y se asigna modalidad: entrega en punto / recogida / recogida programada (voluminosos).</w:t>
      </w:r>
    </w:p>
    <w:p>
      <w:pPr>
        <w:pStyle w:val="ListBullet"/>
      </w:pPr>
      <w:r>
        <w:t>3) Al recibir el producto, almacén registra estado y aprueba/rechaza o aplica deducción.</w:t>
      </w:r>
    </w:p>
    <w:p>
      <w:pPr>
        <w:pStyle w:val="ListBullet"/>
      </w:pPr>
      <w:r>
        <w:t>4) Se ejecuta reembolso y se comunica al cliente.</w:t>
      </w:r>
    </w:p>
    <w:p/>
    <w:p/>
    <w:p>
      <w:pPr>
        <w:pStyle w:val="Heading1"/>
      </w:pPr>
      <w:r>
        <w:t>9. Flujo operativo - Tienda</w:t>
      </w:r>
    </w:p>
    <w:p>
      <w:pPr>
        <w:pStyle w:val="ListBullet"/>
      </w:pPr>
      <w:r>
        <w:t>1) Verificar ticket o localizar compra por fidelización (correo/teléfono).</w:t>
      </w:r>
    </w:p>
    <w:p>
      <w:pPr>
        <w:pStyle w:val="ListBullet"/>
      </w:pPr>
      <w:r>
        <w:t>2) Revisar plazo y excepciones; inspeccionar estado del producto.</w:t>
      </w:r>
    </w:p>
    <w:p>
      <w:pPr>
        <w:pStyle w:val="ListBullet"/>
      </w:pPr>
      <w:r>
        <w:t>3) Registrar motivo de devolución y condición del producto.</w:t>
      </w:r>
    </w:p>
    <w:p>
      <w:pPr>
        <w:pStyle w:val="ListBullet"/>
      </w:pPr>
      <w:r>
        <w:t>4) Ejecutar reembolso según método de pago (ver sección 6) y entregar justificante.</w:t>
      </w:r>
    </w:p>
    <w:p/>
    <w:p/>
    <w:p>
      <w:pPr>
        <w:pStyle w:val="Heading1"/>
      </w:pPr>
      <w:r>
        <w:t>10. Motivos estándar de devolución (códigos)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3216"/>
          </w:tcPr>
          <w:p>
            <w:r>
              <w:t>R01</w:t>
            </w:r>
          </w:p>
        </w:tc>
        <w:tc>
          <w:tcPr>
            <w:tcW w:type="dxa" w:w="3216"/>
          </w:tcPr>
          <w:p>
            <w:r>
              <w:t>No me gusta / cambio de opinión</w:t>
            </w:r>
          </w:p>
        </w:tc>
        <w:tc>
          <w:tcPr>
            <w:tcW w:type="dxa" w:w="3216"/>
          </w:tcPr>
          <w:p>
            <w:r>
              <w:t>Voluntaria</w:t>
            </w:r>
          </w:p>
        </w:tc>
      </w:tr>
      <w:tr>
        <w:tc>
          <w:tcPr>
            <w:tcW w:type="dxa" w:w="3216"/>
          </w:tcPr>
          <w:p>
            <w:r>
              <w:t>R02</w:t>
            </w:r>
          </w:p>
        </w:tc>
        <w:tc>
          <w:tcPr>
            <w:tcW w:type="dxa" w:w="3216"/>
          </w:tcPr>
          <w:p>
            <w:r>
              <w:t>No encaja (medidas/estilo)</w:t>
            </w:r>
          </w:p>
        </w:tc>
        <w:tc>
          <w:tcPr>
            <w:tcW w:type="dxa" w:w="3216"/>
          </w:tcPr>
          <w:p>
            <w:r>
              <w:t>Voluntaria</w:t>
            </w:r>
          </w:p>
        </w:tc>
      </w:tr>
      <w:tr>
        <w:tc>
          <w:tcPr>
            <w:tcW w:type="dxa" w:w="3216"/>
          </w:tcPr>
          <w:p>
            <w:r>
              <w:t>R03</w:t>
            </w:r>
          </w:p>
        </w:tc>
        <w:tc>
          <w:tcPr>
            <w:tcW w:type="dxa" w:w="3216"/>
          </w:tcPr>
          <w:p>
            <w:r>
              <w:t>Defecto de fabricación</w:t>
            </w:r>
          </w:p>
        </w:tc>
        <w:tc>
          <w:tcPr>
            <w:tcW w:type="dxa" w:w="3216"/>
          </w:tcPr>
          <w:p>
            <w:r>
              <w:t>Incidencia</w:t>
            </w:r>
          </w:p>
        </w:tc>
      </w:tr>
      <w:tr>
        <w:tc>
          <w:tcPr>
            <w:tcW w:type="dxa" w:w="3216"/>
          </w:tcPr>
          <w:p>
            <w:r>
              <w:t>R04</w:t>
            </w:r>
          </w:p>
        </w:tc>
        <w:tc>
          <w:tcPr>
            <w:tcW w:type="dxa" w:w="3216"/>
          </w:tcPr>
          <w:p>
            <w:r>
              <w:t>Daño en transporte</w:t>
            </w:r>
          </w:p>
        </w:tc>
        <w:tc>
          <w:tcPr>
            <w:tcW w:type="dxa" w:w="3216"/>
          </w:tcPr>
          <w:p>
            <w:r>
              <w:t>Incidencia</w:t>
            </w:r>
          </w:p>
        </w:tc>
      </w:tr>
      <w:tr>
        <w:tc>
          <w:tcPr>
            <w:tcW w:type="dxa" w:w="3216"/>
          </w:tcPr>
          <w:p>
            <w:r>
              <w:t>R05</w:t>
            </w:r>
          </w:p>
        </w:tc>
        <w:tc>
          <w:tcPr>
            <w:tcW w:type="dxa" w:w="3216"/>
          </w:tcPr>
          <w:p>
            <w:r>
              <w:t>Faltan piezas / incompleto</w:t>
            </w:r>
          </w:p>
        </w:tc>
        <w:tc>
          <w:tcPr>
            <w:tcW w:type="dxa" w:w="3216"/>
          </w:tcPr>
          <w:p>
            <w:r>
              <w:t>Incidencia</w:t>
            </w:r>
          </w:p>
        </w:tc>
      </w:tr>
      <w:tr>
        <w:tc>
          <w:tcPr>
            <w:tcW w:type="dxa" w:w="3216"/>
          </w:tcPr>
          <w:p>
            <w:r>
              <w:t>R06</w:t>
            </w:r>
          </w:p>
        </w:tc>
        <w:tc>
          <w:tcPr>
            <w:tcW w:type="dxa" w:w="3216"/>
          </w:tcPr>
          <w:p>
            <w:r>
              <w:t>Error de preparación (producto incorrecto)</w:t>
            </w:r>
          </w:p>
        </w:tc>
        <w:tc>
          <w:tcPr>
            <w:tcW w:type="dxa" w:w="3216"/>
          </w:tcPr>
          <w:p>
            <w:r>
              <w:t>Incidencia</w:t>
            </w:r>
          </w:p>
        </w:tc>
      </w:tr>
    </w:tbl>
    <w:p/>
    <w:p/>
    <w:p>
      <w:pPr>
        <w:pStyle w:val="Heading1"/>
      </w:pPr>
      <w:r>
        <w:t>11. Escalado y casos especiales</w:t>
      </w:r>
    </w:p>
    <w:p>
      <w:pPr>
        <w:pStyle w:val="ListBullet"/>
      </w:pPr>
      <w:r>
        <w:t>Sospecha de fraude (patrones de devolución anómalos): escalar a Prevención de pérdidas con evidencia.</w:t>
      </w:r>
    </w:p>
    <w:p>
      <w:pPr>
        <w:pStyle w:val="ListBullet"/>
      </w:pPr>
      <w:r>
        <w:t>Producto voluminoso montado: requiere validación de Operaciones antes de aceptar devolución voluntaria.</w:t>
      </w:r>
    </w:p>
    <w:p>
      <w:pPr>
        <w:pStyle w:val="ListBullet"/>
      </w:pPr>
      <w:r>
        <w:t>Cliente VIP (Oro/Platino): se puede conceder excepción una vez por semestre (aprobación de Store Manager).</w:t>
      </w:r>
    </w:p>
    <w:p/>
    <w:p/>
    <w:p>
      <w:pPr>
        <w:pStyle w:val="Heading1"/>
      </w:pPr>
      <w:r>
        <w:t>12.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Cambios principales</w:t>
            </w:r>
          </w:p>
        </w:tc>
      </w:tr>
      <w:tr>
        <w:tc>
          <w:tcPr>
            <w:tcW w:type="dxa" w:w="3216"/>
          </w:tcPr>
          <w:p>
            <w:r>
              <w:t>1.3</w:t>
            </w:r>
          </w:p>
        </w:tc>
        <w:tc>
          <w:tcPr>
            <w:tcW w:type="dxa" w:w="3216"/>
          </w:tcPr>
          <w:p>
            <w:r>
              <w:t>15/01/2026</w:t>
            </w:r>
          </w:p>
        </w:tc>
        <w:tc>
          <w:tcPr>
            <w:tcW w:type="dxa" w:w="3216"/>
          </w:tcPr>
          <w:p>
            <w:r>
              <w:t>Se amplía plazo online a 45 días; se clarifica reembolso en pagos mixtos; se introduce excepción VIP.</w:t>
            </w:r>
          </w:p>
        </w:tc>
      </w:tr>
      <w:tr>
        <w:tc>
          <w:tcPr>
            <w:tcW w:type="dxa" w:w="3216"/>
          </w:tcPr>
          <w:p>
            <w:r>
              <w:t>1.2</w:t>
            </w:r>
          </w:p>
        </w:tc>
        <w:tc>
          <w:tcPr>
            <w:tcW w:type="dxa" w:w="3216"/>
          </w:tcPr>
          <w:p>
            <w:r>
              <w:t>01/09/2025</w:t>
            </w:r>
          </w:p>
        </w:tc>
        <w:tc>
          <w:tcPr>
            <w:tcW w:type="dxa" w:w="3216"/>
          </w:tcPr>
          <w:p>
            <w:r>
              <w:t>Versión anterior (OBSOLETA).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