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Diccionario de KPI y reglas de cálculo - FraSoHome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ID documento</w:t>
            </w:r>
          </w:p>
        </w:tc>
        <w:tc>
          <w:tcPr>
            <w:tcW w:type="dxa" w:w="4824"/>
          </w:tcPr>
          <w:p>
            <w:r>
              <w:t>FS-KB-03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>
              <w:t>Diccionario de KPI y reglas de cálculo (oficial)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>
              <w:t>1.0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>
              <w:t>VIGENTE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Área propietaria</w:t>
            </w:r>
          </w:p>
        </w:tc>
        <w:tc>
          <w:tcPr>
            <w:tcW w:type="dxa" w:w="4824"/>
          </w:tcPr>
          <w:p>
            <w:r>
              <w:t>Equipo de Datos + Finanzas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>
              <w:t>CFO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Vigente desde</w:t>
            </w:r>
          </w:p>
        </w:tc>
        <w:tc>
          <w:tcPr>
            <w:tcW w:type="dxa" w:w="4824"/>
          </w:tcPr>
          <w:p>
            <w:r>
              <w:t>01/02/2026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Última revisión</w:t>
            </w:r>
          </w:p>
        </w:tc>
        <w:tc>
          <w:tcPr>
            <w:tcW w:type="dxa" w:w="4824"/>
          </w:tcPr>
          <w:p>
            <w:r>
              <w:t>15/02/2026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Sensibilidad</w:t>
            </w:r>
          </w:p>
        </w:tc>
        <w:tc>
          <w:tcPr>
            <w:tcW w:type="dxa" w:w="4824"/>
          </w:tcPr>
          <w:p>
            <w:r>
              <w:t>Uso interno (definiciones oficiales)</w:t>
            </w:r>
          </w:p>
        </w:tc>
      </w:tr>
    </w:tbl>
    <w:p/>
    <w:p>
      <w:pPr>
        <w:pStyle w:val="Heading1"/>
      </w:pPr>
      <w:r>
        <w:t>1. Principios generales</w:t>
      </w:r>
    </w:p>
    <w:p>
      <w:r>
        <w:t>Este diccionario define las métricas oficiales que deben usarse en informes, dashboards y respuestas del asistente.</w:t>
      </w:r>
    </w:p>
    <w:p>
      <w:pPr>
        <w:pStyle w:val="ListBullet"/>
      </w:pPr>
      <w:r>
        <w:t>Si un usuario pregunta por un KPI, el asistente debe citar esta fuente y declarar la fórmula usada.</w:t>
      </w:r>
    </w:p>
    <w:p>
      <w:pPr>
        <w:pStyle w:val="ListBullet"/>
      </w:pPr>
      <w:r>
        <w:t>Cuando una pregunta requiera un periodo/canal y no esté especificado, el asistente debe pedir aclaración (o proponer un valor por defecto y confirmarlo).</w:t>
      </w:r>
    </w:p>
    <w:p>
      <w:pPr>
        <w:pStyle w:val="ListBullet"/>
      </w:pPr>
      <w:r>
        <w:t>Las métricas de ventas y devoluciones deben presentarse, como mínimo, con: periodo, canal, moneda y definición.</w:t>
      </w:r>
    </w:p>
    <w:p/>
    <w:p/>
    <w:p>
      <w:pPr>
        <w:pStyle w:val="Heading1"/>
      </w:pPr>
      <w:r>
        <w:t>2. Tabla de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  <w:t>KPI</w:t>
            </w:r>
          </w:p>
        </w:tc>
        <w:tc>
          <w:tcPr>
            <w:tcW w:type="dxa" w:w="1930"/>
          </w:tcPr>
          <w:p>
            <w:r>
              <w:rPr>
                <w:b/>
              </w:rPr>
              <w:t>Definición</w:t>
            </w:r>
          </w:p>
        </w:tc>
        <w:tc>
          <w:tcPr>
            <w:tcW w:type="dxa" w:w="1930"/>
          </w:tcPr>
          <w:p>
            <w:r>
              <w:rPr>
                <w:b/>
              </w:rPr>
              <w:t>Fórmula (conceptual)</w:t>
            </w:r>
          </w:p>
        </w:tc>
        <w:tc>
          <w:tcPr>
            <w:tcW w:type="dxa" w:w="1930"/>
          </w:tcPr>
          <w:p>
            <w:r>
              <w:rPr>
                <w:b/>
              </w:rPr>
              <w:t>Fuentes</w:t>
            </w:r>
          </w:p>
        </w:tc>
        <w:tc>
          <w:tcPr>
            <w:tcW w:type="dxa" w:w="1930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1930"/>
          </w:tcPr>
          <w:p>
            <w:r>
              <w:t>Ventas brutas</w:t>
            </w:r>
          </w:p>
        </w:tc>
        <w:tc>
          <w:tcPr>
            <w:tcW w:type="dxa" w:w="1930"/>
          </w:tcPr>
          <w:p>
            <w:r>
              <w:t>Importe total vendido antes de descuentos y devoluciones.</w:t>
            </w:r>
          </w:p>
        </w:tc>
        <w:tc>
          <w:tcPr>
            <w:tcW w:type="dxa" w:w="1930"/>
          </w:tcPr>
          <w:p>
            <w:r>
              <w:t>SUM(Importe_linea_bruto)</w:t>
            </w:r>
          </w:p>
        </w:tc>
        <w:tc>
          <w:tcPr>
            <w:tcW w:type="dxa" w:w="1930"/>
          </w:tcPr>
          <w:p>
            <w:r>
              <w:t>POS + E-commerce</w:t>
            </w:r>
          </w:p>
        </w:tc>
        <w:tc>
          <w:tcPr>
            <w:tcW w:type="dxa" w:w="1930"/>
          </w:tcPr>
          <w:p>
            <w:r>
              <w:t>Incluye IVA. No resta devoluciones.</w:t>
            </w:r>
          </w:p>
        </w:tc>
      </w:tr>
      <w:tr>
        <w:tc>
          <w:tcPr>
            <w:tcW w:type="dxa" w:w="1930"/>
          </w:tcPr>
          <w:p>
            <w:r>
              <w:t>Descuentos comerciales</w:t>
            </w:r>
          </w:p>
        </w:tc>
        <w:tc>
          <w:tcPr>
            <w:tcW w:type="dxa" w:w="1930"/>
          </w:tcPr>
          <w:p>
            <w:r>
              <w:t>Descuentos aplicados en línea o ticket (promos, cupones, rebajas).</w:t>
            </w:r>
          </w:p>
        </w:tc>
        <w:tc>
          <w:tcPr>
            <w:tcW w:type="dxa" w:w="1930"/>
          </w:tcPr>
          <w:p>
            <w:r>
              <w:t>SUM(Descuento_linea)</w:t>
            </w:r>
          </w:p>
        </w:tc>
        <w:tc>
          <w:tcPr>
            <w:tcW w:type="dxa" w:w="1930"/>
          </w:tcPr>
          <w:p>
            <w:r>
              <w:t>POS + E-commerce</w:t>
            </w:r>
          </w:p>
        </w:tc>
        <w:tc>
          <w:tcPr>
            <w:tcW w:type="dxa" w:w="1930"/>
          </w:tcPr>
          <w:p>
            <w:r>
              <w:t>No incluye puntos canjeados (ver 'Descuento por puntos').</w:t>
            </w:r>
          </w:p>
        </w:tc>
      </w:tr>
      <w:tr>
        <w:tc>
          <w:tcPr>
            <w:tcW w:type="dxa" w:w="1930"/>
          </w:tcPr>
          <w:p>
            <w:r>
              <w:t>Descuento por puntos</w:t>
            </w:r>
          </w:p>
        </w:tc>
        <w:tc>
          <w:tcPr>
            <w:tcW w:type="dxa" w:w="1930"/>
          </w:tcPr>
          <w:p>
            <w:r>
              <w:t>Importe descontado por canje de puntos de fidelización.</w:t>
            </w:r>
          </w:p>
        </w:tc>
        <w:tc>
          <w:tcPr>
            <w:tcW w:type="dxa" w:w="1930"/>
          </w:tcPr>
          <w:p>
            <w:r>
              <w:t>SUM(Importe_puntos_canjeados)</w:t>
            </w:r>
          </w:p>
        </w:tc>
        <w:tc>
          <w:tcPr>
            <w:tcW w:type="dxa" w:w="1930"/>
          </w:tcPr>
          <w:p>
            <w:r>
              <w:t>CRM + POS/E-commerce</w:t>
            </w:r>
          </w:p>
        </w:tc>
        <w:tc>
          <w:tcPr>
            <w:tcW w:type="dxa" w:w="1930"/>
          </w:tcPr>
          <w:p>
            <w:r>
              <w:t>Se informa por separado para análisis de fidelización.</w:t>
            </w:r>
          </w:p>
        </w:tc>
      </w:tr>
      <w:tr>
        <w:tc>
          <w:tcPr>
            <w:tcW w:type="dxa" w:w="1930"/>
          </w:tcPr>
          <w:p>
            <w:r>
              <w:t>Devoluciones (importe)</w:t>
            </w:r>
          </w:p>
        </w:tc>
        <w:tc>
          <w:tcPr>
            <w:tcW w:type="dxa" w:w="1930"/>
          </w:tcPr>
          <w:p>
            <w:r>
              <w:t>Importe reembolsado por devoluciones confirmadas.</w:t>
            </w:r>
          </w:p>
        </w:tc>
        <w:tc>
          <w:tcPr>
            <w:tcW w:type="dxa" w:w="1930"/>
          </w:tcPr>
          <w:p>
            <w:r>
              <w:t>SUM(Importe_reembolso)</w:t>
            </w:r>
          </w:p>
        </w:tc>
        <w:tc>
          <w:tcPr>
            <w:tcW w:type="dxa" w:w="1930"/>
          </w:tcPr>
          <w:p>
            <w:r>
              <w:t>POS + E-commerce</w:t>
            </w:r>
          </w:p>
        </w:tc>
        <w:tc>
          <w:tcPr>
            <w:tcW w:type="dxa" w:w="1930"/>
          </w:tcPr>
          <w:p>
            <w:r>
              <w:t>Se registra en la fecha de confirmación de devolución.</w:t>
            </w:r>
          </w:p>
        </w:tc>
      </w:tr>
      <w:tr>
        <w:tc>
          <w:tcPr>
            <w:tcW w:type="dxa" w:w="1930"/>
          </w:tcPr>
          <w:p>
            <w:r>
              <w:t>Ventas netas</w:t>
            </w:r>
          </w:p>
        </w:tc>
        <w:tc>
          <w:tcPr>
            <w:tcW w:type="dxa" w:w="1930"/>
          </w:tcPr>
          <w:p>
            <w:r>
              <w:t>Ventas brutas menos descuentos comerciales, menos descuento por puntos, menos devoluciones.</w:t>
            </w:r>
          </w:p>
        </w:tc>
        <w:tc>
          <w:tcPr>
            <w:tcW w:type="dxa" w:w="1930"/>
          </w:tcPr>
          <w:p>
            <w:r>
              <w:t>Ventas brutas - Descuentos comerciales - Descuento por puntos - Devoluciones</w:t>
            </w:r>
          </w:p>
        </w:tc>
        <w:tc>
          <w:tcPr>
            <w:tcW w:type="dxa" w:w="1930"/>
          </w:tcPr>
          <w:p>
            <w:r>
              <w:t>Modelo consolidado</w:t>
            </w:r>
          </w:p>
        </w:tc>
        <w:tc>
          <w:tcPr>
            <w:tcW w:type="dxa" w:w="1930"/>
          </w:tcPr>
          <w:p>
            <w:r>
              <w:t>KPI principal para reporting comercial.</w:t>
            </w:r>
          </w:p>
        </w:tc>
      </w:tr>
      <w:tr>
        <w:tc>
          <w:tcPr>
            <w:tcW w:type="dxa" w:w="1930"/>
          </w:tcPr>
          <w:p>
            <w:r>
              <w:t>Margen bruto</w:t>
            </w:r>
          </w:p>
        </w:tc>
        <w:tc>
          <w:tcPr>
            <w:tcW w:type="dxa" w:w="1930"/>
          </w:tcPr>
          <w:p>
            <w:r>
              <w:t>Ventas netas menos coste de mercancía vendida (COGS).</w:t>
            </w:r>
          </w:p>
        </w:tc>
        <w:tc>
          <w:tcPr>
            <w:tcW w:type="dxa" w:w="1930"/>
          </w:tcPr>
          <w:p>
            <w:r>
              <w:t>Ventas netas - SUM(Coste_unitario * Unidades_vendidas)</w:t>
            </w:r>
          </w:p>
        </w:tc>
        <w:tc>
          <w:tcPr>
            <w:tcW w:type="dxa" w:w="1930"/>
          </w:tcPr>
          <w:p>
            <w:r>
              <w:t>ERP (coste) + Ventas</w:t>
            </w:r>
          </w:p>
        </w:tc>
        <w:tc>
          <w:tcPr>
            <w:tcW w:type="dxa" w:w="1930"/>
          </w:tcPr>
          <w:p>
            <w:r>
              <w:t>Coste estándar mensual. No incluye logística.</w:t>
            </w:r>
          </w:p>
        </w:tc>
      </w:tr>
      <w:tr>
        <w:tc>
          <w:tcPr>
            <w:tcW w:type="dxa" w:w="1930"/>
          </w:tcPr>
          <w:p>
            <w:r>
              <w:t>Tasa de devolución (unidades)</w:t>
            </w:r>
          </w:p>
        </w:tc>
        <w:tc>
          <w:tcPr>
            <w:tcW w:type="dxa" w:w="1930"/>
          </w:tcPr>
          <w:p>
            <w:r>
              <w:t>Porcentaje de unidades devueltas sobre unidades vendidas.</w:t>
            </w:r>
          </w:p>
        </w:tc>
        <w:tc>
          <w:tcPr>
            <w:tcW w:type="dxa" w:w="1930"/>
          </w:tcPr>
          <w:p>
            <w:r>
              <w:t>Unidades_devueltas / Unidades_vendidas</w:t>
            </w:r>
          </w:p>
        </w:tc>
        <w:tc>
          <w:tcPr>
            <w:tcW w:type="dxa" w:w="1930"/>
          </w:tcPr>
          <w:p>
            <w:r>
              <w:t>Ventas + Devoluciones</w:t>
            </w:r>
          </w:p>
        </w:tc>
        <w:tc>
          <w:tcPr>
            <w:tcW w:type="dxa" w:w="1930"/>
          </w:tcPr>
          <w:p>
            <w:r>
              <w:t>Se calcula por canal y categoría.</w:t>
            </w:r>
          </w:p>
        </w:tc>
      </w:tr>
      <w:tr>
        <w:tc>
          <w:tcPr>
            <w:tcW w:type="dxa" w:w="1930"/>
          </w:tcPr>
          <w:p>
            <w:r>
              <w:t>Tasa de devolución (importe)</w:t>
            </w:r>
          </w:p>
        </w:tc>
        <w:tc>
          <w:tcPr>
            <w:tcW w:type="dxa" w:w="1930"/>
          </w:tcPr>
          <w:p>
            <w:r>
              <w:t>Porcentaje de importe devuelto sobre ventas netas.</w:t>
            </w:r>
          </w:p>
        </w:tc>
        <w:tc>
          <w:tcPr>
            <w:tcW w:type="dxa" w:w="1930"/>
          </w:tcPr>
          <w:p>
            <w:r>
              <w:t>Importe_devoluciones / Ventas netas</w:t>
            </w:r>
          </w:p>
        </w:tc>
        <w:tc>
          <w:tcPr>
            <w:tcW w:type="dxa" w:w="1930"/>
          </w:tcPr>
          <w:p>
            <w:r>
              <w:t>Ventas + Devoluciones</w:t>
            </w:r>
          </w:p>
        </w:tc>
        <w:tc>
          <w:tcPr>
            <w:tcW w:type="dxa" w:w="1930"/>
          </w:tcPr>
          <w:p>
            <w:r>
              <w:t>Recomendado usar a nivel mensual.</w:t>
            </w:r>
          </w:p>
        </w:tc>
      </w:tr>
      <w:tr>
        <w:tc>
          <w:tcPr>
            <w:tcW w:type="dxa" w:w="1930"/>
          </w:tcPr>
          <w:p>
            <w:r>
              <w:t>Stock disponible</w:t>
            </w:r>
          </w:p>
        </w:tc>
        <w:tc>
          <w:tcPr>
            <w:tcW w:type="dxa" w:w="1930"/>
          </w:tcPr>
          <w:p>
            <w:r>
              <w:t>Unidades disponibles para venta = stock en mano - reservado - bloqueado.</w:t>
            </w:r>
          </w:p>
        </w:tc>
        <w:tc>
          <w:tcPr>
            <w:tcW w:type="dxa" w:w="1930"/>
          </w:tcPr>
          <w:p>
            <w:r>
              <w:t>Stock_on_hand - Stock_reservado - Stock_bloqueado</w:t>
            </w:r>
          </w:p>
        </w:tc>
        <w:tc>
          <w:tcPr>
            <w:tcW w:type="dxa" w:w="1930"/>
          </w:tcPr>
          <w:p>
            <w:r>
              <w:t>ERP</w:t>
            </w:r>
          </w:p>
        </w:tc>
        <w:tc>
          <w:tcPr>
            <w:tcW w:type="dxa" w:w="1930"/>
          </w:tcPr>
          <w:p>
            <w:r>
              <w:t>Si &lt; 0, corregir calidad de datos.</w:t>
            </w:r>
          </w:p>
        </w:tc>
      </w:tr>
      <w:tr>
        <w:tc>
          <w:tcPr>
            <w:tcW w:type="dxa" w:w="1930"/>
          </w:tcPr>
          <w:p>
            <w:r>
              <w:t>Quiebra de stock</w:t>
            </w:r>
          </w:p>
        </w:tc>
        <w:tc>
          <w:tcPr>
            <w:tcW w:type="dxa" w:w="1930"/>
          </w:tcPr>
          <w:p>
            <w:r>
              <w:t>SKU con stock disponible = 0 y demanda reciente &gt; 0.</w:t>
            </w:r>
          </w:p>
        </w:tc>
        <w:tc>
          <w:tcPr>
            <w:tcW w:type="dxa" w:w="1930"/>
          </w:tcPr>
          <w:p>
            <w:r>
              <w:t>Stock disponible = 0 AND Ventas_7d &gt; 0</w:t>
            </w:r>
          </w:p>
        </w:tc>
        <w:tc>
          <w:tcPr>
            <w:tcW w:type="dxa" w:w="1930"/>
          </w:tcPr>
          <w:p>
            <w:r>
              <w:t>ERP + Ventas</w:t>
            </w:r>
          </w:p>
        </w:tc>
        <w:tc>
          <w:tcPr>
            <w:tcW w:type="dxa" w:w="1930"/>
          </w:tcPr>
          <w:p>
            <w:r>
              <w:t>Usar para priorizar reposición.</w:t>
            </w:r>
          </w:p>
        </w:tc>
      </w:tr>
      <w:tr>
        <w:tc>
          <w:tcPr>
            <w:tcW w:type="dxa" w:w="1930"/>
          </w:tcPr>
          <w:p>
            <w:r>
              <w:t>Rotación de inventario</w:t>
            </w:r>
          </w:p>
        </w:tc>
        <w:tc>
          <w:tcPr>
            <w:tcW w:type="dxa" w:w="1930"/>
          </w:tcPr>
          <w:p>
            <w:r>
              <w:t>Velocidad de salida del stock (en unidades).</w:t>
            </w:r>
          </w:p>
        </w:tc>
        <w:tc>
          <w:tcPr>
            <w:tcW w:type="dxa" w:w="1930"/>
          </w:tcPr>
          <w:p>
            <w:r>
              <w:t>Unidades_vendidas_periodo / Stock_medio_periodo</w:t>
            </w:r>
          </w:p>
        </w:tc>
        <w:tc>
          <w:tcPr>
            <w:tcW w:type="dxa" w:w="1930"/>
          </w:tcPr>
          <w:p>
            <w:r>
              <w:t>ERP + Ventas</w:t>
            </w:r>
          </w:p>
        </w:tc>
        <w:tc>
          <w:tcPr>
            <w:tcW w:type="dxa" w:w="1930"/>
          </w:tcPr>
          <w:p>
            <w:r>
              <w:t>Stock medio = (stock inicio + stock fin)/2.</w:t>
            </w:r>
          </w:p>
        </w:tc>
      </w:tr>
      <w:tr>
        <w:tc>
          <w:tcPr>
            <w:tcW w:type="dxa" w:w="1930"/>
          </w:tcPr>
          <w:p>
            <w:r>
              <w:t>Ticket medio</w:t>
            </w:r>
          </w:p>
        </w:tc>
        <w:tc>
          <w:tcPr>
            <w:tcW w:type="dxa" w:w="1930"/>
          </w:tcPr>
          <w:p>
            <w:r>
              <w:t>Promedio de ventas netas por ticket/pedido.</w:t>
            </w:r>
          </w:p>
        </w:tc>
        <w:tc>
          <w:tcPr>
            <w:tcW w:type="dxa" w:w="1930"/>
          </w:tcPr>
          <w:p>
            <w:r>
              <w:t>Ventas netas / Nº pedidos</w:t>
            </w:r>
          </w:p>
        </w:tc>
        <w:tc>
          <w:tcPr>
            <w:tcW w:type="dxa" w:w="1930"/>
          </w:tcPr>
          <w:p>
            <w:r>
              <w:t>POS + E-commerce</w:t>
            </w:r>
          </w:p>
        </w:tc>
        <w:tc>
          <w:tcPr>
            <w:tcW w:type="dxa" w:w="1930"/>
          </w:tcPr>
          <w:p>
            <w:r>
              <w:t>Comparar por canal.</w:t>
            </w:r>
          </w:p>
        </w:tc>
      </w:tr>
      <w:tr>
        <w:tc>
          <w:tcPr>
            <w:tcW w:type="dxa" w:w="1930"/>
          </w:tcPr>
          <w:p>
            <w:r>
              <w:t>Clientes activos</w:t>
            </w:r>
          </w:p>
        </w:tc>
        <w:tc>
          <w:tcPr>
            <w:tcW w:type="dxa" w:w="1930"/>
          </w:tcPr>
          <w:p>
            <w:r>
              <w:t>Clientes con al menos 1 compra en los últimos 12 meses.</w:t>
            </w:r>
          </w:p>
        </w:tc>
        <w:tc>
          <w:tcPr>
            <w:tcW w:type="dxa" w:w="1930"/>
          </w:tcPr>
          <w:p>
            <w:r>
              <w:t>COUNTDISTINCT(CustomerID) con compra_12m</w:t>
            </w:r>
          </w:p>
        </w:tc>
        <w:tc>
          <w:tcPr>
            <w:tcW w:type="dxa" w:w="1930"/>
          </w:tcPr>
          <w:p>
            <w:r>
              <w:t>CRM + Ventas</w:t>
            </w:r>
          </w:p>
        </w:tc>
        <w:tc>
          <w:tcPr>
            <w:tcW w:type="dxa" w:w="1930"/>
          </w:tcPr>
          <w:p>
            <w:r>
              <w:t>Para segmentación y campañas.</w:t>
            </w:r>
          </w:p>
        </w:tc>
      </w:tr>
    </w:tbl>
    <w:p/>
    <w:p/>
    <w:p>
      <w:pPr>
        <w:pStyle w:val="Heading1"/>
      </w:pPr>
      <w:r>
        <w:t>3. Reglas de calendario y redondeo</w:t>
      </w:r>
    </w:p>
    <w:p>
      <w:pPr>
        <w:pStyle w:val="ListBullet"/>
      </w:pPr>
      <w:r>
        <w:t>Calendario: mes natural (01-31) salvo indicación contraria.</w:t>
      </w:r>
    </w:p>
    <w:p>
      <w:pPr>
        <w:pStyle w:val="ListBullet"/>
      </w:pPr>
      <w:r>
        <w:t>Moneda: EUR. Redondeo a 2 decimales en importes.</w:t>
      </w:r>
    </w:p>
    <w:p>
      <w:pPr>
        <w:pStyle w:val="ListBullet"/>
      </w:pPr>
      <w:r>
        <w:t>Tasa de devolución: mostrar en % con 1 decimal (p. ej., 7,3%).</w:t>
      </w:r>
    </w:p>
    <w:p/>
    <w:p/>
    <w:p>
      <w:pPr>
        <w:pStyle w:val="Heading1"/>
      </w:pPr>
      <w:r>
        <w:t>4. Reglas de calidad y excepciones</w:t>
      </w:r>
    </w:p>
    <w:p>
      <w:pPr>
        <w:pStyle w:val="ListBullet"/>
      </w:pPr>
      <w:r>
        <w:t>Importes negativos: solo se admiten en devoluciones/ajustes; revisar si aparecen en ventas.</w:t>
      </w:r>
    </w:p>
    <w:p>
      <w:pPr>
        <w:pStyle w:val="ListBullet"/>
      </w:pPr>
      <w:r>
        <w:t>Duplicados de pedidos/tickets: excluir del reporting hasta reconciliación.</w:t>
      </w:r>
    </w:p>
    <w:p>
      <w:pPr>
        <w:pStyle w:val="ListBullet"/>
      </w:pPr>
      <w:r>
        <w:t>Coste unitario faltante: si COGS está nulo, el margen bruto se reporta como 'no disponible' para evitar errores.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8"/>
      </w:rPr>
      <w:t>Uso interno - Taller RAG/Copilot Studio | FraSoHome (ficticio)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r>
            <w:rPr>
              <w:sz w:val="18"/>
            </w:rPr>
            <w:t>FraSoHome | Base de conocimiento (taller)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sz w:val="18"/>
            </w:rPr>
            <w:t>FS-KB-03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