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Guía de fidelización CRM (FraSoHome Rewards)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ID documento</w:t>
            </w:r>
          </w:p>
        </w:tc>
        <w:tc>
          <w:tcPr>
            <w:tcW w:type="dxa" w:w="4824"/>
          </w:tcPr>
          <w:p>
            <w:r>
              <w:t>FS-KB-07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>
              <w:t>Guía de fidelización (CRM): tiers, puntos y segmentación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>
              <w:t>1.1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>
              <w:t>VIGENTE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Área propietaria</w:t>
            </w:r>
          </w:p>
        </w:tc>
        <w:tc>
          <w:tcPr>
            <w:tcW w:type="dxa" w:w="4824"/>
          </w:tcPr>
          <w:p>
            <w:r>
              <w:t>Marketing + CRM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>
              <w:t>CMO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Vigente desde</w:t>
            </w:r>
          </w:p>
        </w:tc>
        <w:tc>
          <w:tcPr>
            <w:tcW w:type="dxa" w:w="4824"/>
          </w:tcPr>
          <w:p>
            <w:r>
              <w:t>01/01/2026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Última revisión</w:t>
            </w:r>
          </w:p>
        </w:tc>
        <w:tc>
          <w:tcPr>
            <w:tcW w:type="dxa" w:w="4824"/>
          </w:tcPr>
          <w:p>
            <w:r>
              <w:t>18/02/2026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Sensibilidad</w:t>
            </w:r>
          </w:p>
        </w:tc>
        <w:tc>
          <w:tcPr>
            <w:tcW w:type="dxa" w:w="4824"/>
          </w:tcPr>
          <w:p>
            <w:r>
              <w:t>Uso interno (marketing)</w:t>
            </w:r>
          </w:p>
        </w:tc>
      </w:tr>
    </w:tbl>
    <w:p/>
    <w:p>
      <w:pPr>
        <w:pStyle w:val="Heading1"/>
      </w:pPr>
      <w:r>
        <w:t>1. Objetivo</w:t>
      </w:r>
    </w:p>
    <w:p>
      <w:r>
        <w:t>Definir reglas del programa de fidelización FraSoHome Rewards para uso consistente en campañas, reporting y atención al cliente.</w:t>
      </w:r>
    </w:p>
    <w:p/>
    <w:p>
      <w:pPr>
        <w:pStyle w:val="Heading1"/>
      </w:pPr>
      <w:r>
        <w:t>2. Tiers y reglas de puntos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412"/>
          </w:tcPr>
          <w:p>
            <w:r>
              <w:rPr>
                <w:b/>
              </w:rPr>
              <w:t>Umbral anual (EUR ventas netas)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Acumulación</w:t>
            </w:r>
          </w:p>
        </w:tc>
        <w:tc>
          <w:tcPr>
            <w:tcW w:type="dxa" w:w="2412"/>
          </w:tcPr>
          <w:p>
            <w:r>
              <w:rPr>
                <w:b/>
              </w:rPr>
              <w:t>Beneficio clave</w:t>
            </w:r>
          </w:p>
        </w:tc>
      </w:tr>
      <w:tr>
        <w:tc>
          <w:tcPr>
            <w:tcW w:type="dxa" w:w="2412"/>
          </w:tcPr>
          <w:p>
            <w:r>
              <w:t>Bronce</w:t>
            </w:r>
          </w:p>
        </w:tc>
        <w:tc>
          <w:tcPr>
            <w:tcW w:type="dxa" w:w="2412"/>
          </w:tcPr>
          <w:p>
            <w:r>
              <w:t>0 - 199</w:t>
            </w:r>
          </w:p>
        </w:tc>
        <w:tc>
          <w:tcPr>
            <w:tcW w:type="dxa" w:w="2412"/>
          </w:tcPr>
          <w:p>
            <w:r>
              <w:t>1 punto por cada 1 EUR de ventas netas</w:t>
            </w:r>
          </w:p>
        </w:tc>
        <w:tc>
          <w:tcPr>
            <w:tcW w:type="dxa" w:w="2412"/>
          </w:tcPr>
          <w:p>
            <w:r>
              <w:t>Acceso a promociones generales</w:t>
            </w:r>
          </w:p>
        </w:tc>
      </w:tr>
      <w:tr>
        <w:tc>
          <w:tcPr>
            <w:tcW w:type="dxa" w:w="2412"/>
          </w:tcPr>
          <w:p>
            <w:r>
              <w:t>Plata</w:t>
            </w:r>
          </w:p>
        </w:tc>
        <w:tc>
          <w:tcPr>
            <w:tcW w:type="dxa" w:w="2412"/>
          </w:tcPr>
          <w:p>
            <w:r>
              <w:t>200 - 499</w:t>
            </w:r>
          </w:p>
        </w:tc>
        <w:tc>
          <w:tcPr>
            <w:tcW w:type="dxa" w:w="2412"/>
          </w:tcPr>
          <w:p>
            <w:r>
              <w:t>1,25 puntos por cada 1 EUR</w:t>
            </w:r>
          </w:p>
        </w:tc>
        <w:tc>
          <w:tcPr>
            <w:tcW w:type="dxa" w:w="2412"/>
          </w:tcPr>
          <w:p>
            <w:r>
              <w:t>Envío estándar gratuito (online)</w:t>
            </w:r>
          </w:p>
        </w:tc>
      </w:tr>
      <w:tr>
        <w:tc>
          <w:tcPr>
            <w:tcW w:type="dxa" w:w="2412"/>
          </w:tcPr>
          <w:p>
            <w:r>
              <w:t>Oro</w:t>
            </w:r>
          </w:p>
        </w:tc>
        <w:tc>
          <w:tcPr>
            <w:tcW w:type="dxa" w:w="2412"/>
          </w:tcPr>
          <w:p>
            <w:r>
              <w:t>500 - 999</w:t>
            </w:r>
          </w:p>
        </w:tc>
        <w:tc>
          <w:tcPr>
            <w:tcW w:type="dxa" w:w="2412"/>
          </w:tcPr>
          <w:p>
            <w:r>
              <w:t>1,5 puntos por cada 1 EUR</w:t>
            </w:r>
          </w:p>
        </w:tc>
        <w:tc>
          <w:tcPr>
            <w:tcW w:type="dxa" w:w="2412"/>
          </w:tcPr>
          <w:p>
            <w:r>
              <w:t>Atención prioritaria + 1 excepción de devolución/semestre</w:t>
            </w:r>
          </w:p>
        </w:tc>
      </w:tr>
      <w:tr>
        <w:tc>
          <w:tcPr>
            <w:tcW w:type="dxa" w:w="2412"/>
          </w:tcPr>
          <w:p>
            <w:r>
              <w:t>Platino</w:t>
            </w:r>
          </w:p>
        </w:tc>
        <w:tc>
          <w:tcPr>
            <w:tcW w:type="dxa" w:w="2412"/>
          </w:tcPr>
          <w:p>
            <w:r>
              <w:t>&gt;= 1.000</w:t>
            </w:r>
          </w:p>
        </w:tc>
        <w:tc>
          <w:tcPr>
            <w:tcW w:type="dxa" w:w="2412"/>
          </w:tcPr>
          <w:p>
            <w:r>
              <w:t>2 puntos por cada 1 EUR</w:t>
            </w:r>
          </w:p>
        </w:tc>
        <w:tc>
          <w:tcPr>
            <w:tcW w:type="dxa" w:w="2412"/>
          </w:tcPr>
          <w:p>
            <w:r>
              <w:t>Beneficios Oro + acceso anticipado a campañas</w:t>
            </w:r>
          </w:p>
        </w:tc>
      </w:tr>
    </w:tbl>
    <w:p/>
    <w:p>
      <w:pPr>
        <w:pStyle w:val="ListBullet"/>
      </w:pPr>
      <w:r>
        <w:t>Los puntos se calculan sobre ventas netas (ver FS-KB-03).</w:t>
      </w:r>
    </w:p>
    <w:p>
      <w:pPr>
        <w:pStyle w:val="ListBullet"/>
      </w:pPr>
      <w:r>
        <w:t>Las devoluciones descuentan puntos en la fecha de confirmación del reembolso.</w:t>
      </w:r>
    </w:p>
    <w:p>
      <w:pPr>
        <w:pStyle w:val="ListBullet"/>
      </w:pPr>
      <w:r>
        <w:t>El canje de puntos genera 'Descuento por puntos' (ver FS-KB-03).</w:t>
      </w:r>
    </w:p>
    <w:p/>
    <w:p/>
    <w:p>
      <w:pPr>
        <w:pStyle w:val="Heading1"/>
      </w:pPr>
      <w:r>
        <w:t>3. Segmentación operativa (marketing)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Segmento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Uso recomendado</w:t>
            </w:r>
          </w:p>
        </w:tc>
      </w:tr>
      <w:tr>
        <w:tc>
          <w:tcPr>
            <w:tcW w:type="dxa" w:w="3216"/>
          </w:tcPr>
          <w:p>
            <w:r>
              <w:t>Activo</w:t>
            </w:r>
          </w:p>
        </w:tc>
        <w:tc>
          <w:tcPr>
            <w:tcW w:type="dxa" w:w="3216"/>
          </w:tcPr>
          <w:p>
            <w:r>
              <w:t>&gt;= 1 compra en 12 meses</w:t>
            </w:r>
          </w:p>
        </w:tc>
        <w:tc>
          <w:tcPr>
            <w:tcW w:type="dxa" w:w="3216"/>
          </w:tcPr>
          <w:p>
            <w:r>
              <w:t>Campañas de cross-sell</w:t>
            </w:r>
          </w:p>
        </w:tc>
      </w:tr>
      <w:tr>
        <w:tc>
          <w:tcPr>
            <w:tcW w:type="dxa" w:w="3216"/>
          </w:tcPr>
          <w:p>
            <w:r>
              <w:t>En riesgo</w:t>
            </w:r>
          </w:p>
        </w:tc>
        <w:tc>
          <w:tcPr>
            <w:tcW w:type="dxa" w:w="3216"/>
          </w:tcPr>
          <w:p>
            <w:r>
              <w:t>Última compra 6-12 meses</w:t>
            </w:r>
          </w:p>
        </w:tc>
        <w:tc>
          <w:tcPr>
            <w:tcW w:type="dxa" w:w="3216"/>
          </w:tcPr>
          <w:p>
            <w:r>
              <w:t>Campañas de reactivación suave</w:t>
            </w:r>
          </w:p>
        </w:tc>
      </w:tr>
      <w:tr>
        <w:tc>
          <w:tcPr>
            <w:tcW w:type="dxa" w:w="3216"/>
          </w:tcPr>
          <w:p>
            <w:r>
              <w:t>Dormido</w:t>
            </w:r>
          </w:p>
        </w:tc>
        <w:tc>
          <w:tcPr>
            <w:tcW w:type="dxa" w:w="3216"/>
          </w:tcPr>
          <w:p>
            <w:r>
              <w:t>&gt; 12 meses</w:t>
            </w:r>
          </w:p>
        </w:tc>
        <w:tc>
          <w:tcPr>
            <w:tcW w:type="dxa" w:w="3216"/>
          </w:tcPr>
          <w:p>
            <w:r>
              <w:t>Campañas de win-back (incentivo mayor)</w:t>
            </w:r>
          </w:p>
        </w:tc>
      </w:tr>
      <w:tr>
        <w:tc>
          <w:tcPr>
            <w:tcW w:type="dxa" w:w="3216"/>
          </w:tcPr>
          <w:p>
            <w:r>
              <w:t>Alto retorno</w:t>
            </w:r>
          </w:p>
        </w:tc>
        <w:tc>
          <w:tcPr>
            <w:tcW w:type="dxa" w:w="3216"/>
          </w:tcPr>
          <w:p>
            <w:r>
              <w:t>Tasa de devolución (unidades) &gt; 20% en 90 días</w:t>
            </w:r>
          </w:p>
        </w:tc>
        <w:tc>
          <w:tcPr>
            <w:tcW w:type="dxa" w:w="3216"/>
          </w:tcPr>
          <w:p>
            <w:r>
              <w:t>Revisión de fraude/experiencia</w:t>
            </w:r>
          </w:p>
        </w:tc>
      </w:tr>
    </w:tbl>
    <w:p/>
    <w:p/>
    <w:p>
      <w:pPr>
        <w:pStyle w:val="Heading1"/>
      </w:pPr>
      <w:r>
        <w:t>4. Datos mínimos en CRM</w:t>
      </w:r>
    </w:p>
    <w:p>
      <w:pPr>
        <w:pStyle w:val="ListBullet"/>
      </w:pPr>
      <w:r>
        <w:t>CustomerID (clave interna)</w:t>
      </w:r>
    </w:p>
    <w:p>
      <w:pPr>
        <w:pStyle w:val="ListBullet"/>
      </w:pPr>
      <w:r>
        <w:t>Correo (identificador principal)</w:t>
      </w:r>
    </w:p>
    <w:p>
      <w:pPr>
        <w:pStyle w:val="ListBullet"/>
      </w:pPr>
      <w:r>
        <w:t>Fecha de alta</w:t>
      </w:r>
    </w:p>
    <w:p>
      <w:pPr>
        <w:pStyle w:val="ListBullet"/>
      </w:pPr>
      <w:r>
        <w:t>Tier actual y fecha de actualización</w:t>
      </w:r>
    </w:p>
    <w:p>
      <w:pPr>
        <w:pStyle w:val="ListBullet"/>
      </w:pPr>
      <w:r>
        <w:t>Puntos disponibles</w:t>
      </w:r>
    </w:p>
    <w:p>
      <w:pPr>
        <w:pStyle w:val="ListBullet"/>
      </w:pPr>
      <w:r>
        <w:t>Consentimiento marketing (Sí/No)</w:t>
      </w:r>
    </w:p>
    <w:p/>
    <w:p/>
    <w:p>
      <w:pPr>
        <w:pStyle w:val="Heading1"/>
      </w:pPr>
      <w:r>
        <w:t>5. Privacidad y límites</w:t>
      </w:r>
    </w:p>
    <w:p>
      <w:pPr>
        <w:pStyle w:val="ListBullet"/>
      </w:pPr>
      <w:r>
        <w:t>El asistente NO debe mostrar datos personales completos (PII) salvo necesidad y permiso explícito del rol.</w:t>
      </w:r>
    </w:p>
    <w:p>
      <w:pPr>
        <w:pStyle w:val="ListBullet"/>
      </w:pPr>
      <w:r>
        <w:t>En respuestas por defecto, usar métricas agregadas y anonimizadas.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8"/>
      </w:rPr>
      <w:t>Uso interno - Taller RAG/Copilot Studio | FraSoHome (ficticio)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sz w:val="18"/>
            </w:rPr>
            <w:t>FraSoHome | Base de conocimiento (taller)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sz w:val="18"/>
            </w:rPr>
            <w:t>FS-KB-07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